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4D6" w:rsidRPr="0029175B" w:rsidRDefault="00D64049">
      <w:pPr>
        <w:pStyle w:val="RefAgency"/>
        <w:tabs>
          <w:tab w:val="left" w:pos="1277"/>
        </w:tabs>
      </w:pPr>
      <w:bookmarkStart w:id="0" w:name="_GoBack"/>
      <w:bookmarkEnd w:id="0"/>
      <w:r>
        <w:t>5 November</w:t>
      </w:r>
      <w:r w:rsidR="00194B01">
        <w:t xml:space="preserve"> 2018</w:t>
      </w:r>
    </w:p>
    <w:p w:rsidR="00A03BFE" w:rsidRDefault="00D64049" w:rsidP="00A03BFE">
      <w:pPr>
        <w:pStyle w:val="RefAgency"/>
        <w:tabs>
          <w:tab w:val="left" w:pos="1287"/>
        </w:tabs>
        <w:rPr>
          <w:szCs w:val="15"/>
        </w:rPr>
      </w:pPr>
      <w:r>
        <w:rPr>
          <w:szCs w:val="15"/>
        </w:rPr>
        <w:fldChar w:fldCharType="begin"/>
      </w:r>
      <w:r>
        <w:rPr>
          <w:szCs w:val="15"/>
        </w:rPr>
        <w:instrText xml:space="preserve"> IF </w:instrText>
      </w:r>
      <w:fldSimple w:instr=" DOCPROPERTY &quot;DM_emea_doc_ref_id&quot;  \* MERGEFORMAT ">
        <w:r>
          <w:instrText>EMA/763513/2018</w:instrText>
        </w:r>
      </w:fldSimple>
      <w:r>
        <w:rPr>
          <w:szCs w:val="15"/>
        </w:rPr>
        <w:instrText xml:space="preserve"> &lt;&gt; "Error*"</w:instrText>
      </w:r>
      <w:fldSimple w:instr=" DOCPROPERTY &quot;DM_emea_doc_ref_id&quot;  \* MERGEFORMAT ">
        <w:r>
          <w:instrText>EMA/763513/2018</w:instrText>
        </w:r>
      </w:fldSimple>
      <w:r>
        <w:rPr>
          <w:szCs w:val="15"/>
        </w:rPr>
        <w:instrText xml:space="preserve"> \* MERGEFORMAT </w:instrText>
      </w:r>
      <w:r>
        <w:rPr>
          <w:szCs w:val="15"/>
        </w:rPr>
        <w:fldChar w:fldCharType="separate"/>
      </w:r>
      <w:r>
        <w:t>EMA/763513/2018</w:t>
      </w:r>
      <w:r>
        <w:rPr>
          <w:szCs w:val="15"/>
        </w:rPr>
        <w:fldChar w:fldCharType="end"/>
      </w:r>
    </w:p>
    <w:p w:rsidR="00596019" w:rsidRDefault="00596019">
      <w:pPr>
        <w:pStyle w:val="RefAgency"/>
        <w:tabs>
          <w:tab w:val="left" w:pos="1287"/>
        </w:tabs>
        <w:rPr>
          <w:szCs w:val="15"/>
        </w:rPr>
      </w:pPr>
    </w:p>
    <w:p w:rsidR="00F41EFD" w:rsidRDefault="00F41EFD">
      <w:pPr>
        <w:pStyle w:val="RefAgency"/>
        <w:tabs>
          <w:tab w:val="left" w:pos="1287"/>
        </w:tabs>
        <w:rPr>
          <w:szCs w:val="15"/>
        </w:rPr>
      </w:pPr>
    </w:p>
    <w:p w:rsidR="00F41EFD" w:rsidRPr="0029175B" w:rsidRDefault="00F41EFD">
      <w:pPr>
        <w:pStyle w:val="RefAgency"/>
        <w:tabs>
          <w:tab w:val="left" w:pos="1287"/>
        </w:tabs>
        <w:rPr>
          <w:szCs w:val="15"/>
        </w:rPr>
      </w:pPr>
    </w:p>
    <w:p w:rsidR="00596019" w:rsidRPr="0029175B" w:rsidRDefault="00596019">
      <w:pPr>
        <w:pStyle w:val="RefAgency"/>
        <w:tabs>
          <w:tab w:val="left" w:pos="1287"/>
        </w:tabs>
      </w:pPr>
    </w:p>
    <w:p w:rsidR="00596019" w:rsidRPr="0029175B" w:rsidRDefault="00D64049" w:rsidP="00596019">
      <w:pPr>
        <w:spacing w:line="360" w:lineRule="auto"/>
        <w:jc w:val="center"/>
        <w:rPr>
          <w:b/>
          <w:sz w:val="28"/>
          <w:szCs w:val="28"/>
        </w:rPr>
      </w:pPr>
      <w:bookmarkStart w:id="1" w:name="BodyBlank"/>
      <w:bookmarkEnd w:id="1"/>
      <w:r>
        <w:rPr>
          <w:b/>
          <w:sz w:val="28"/>
          <w:szCs w:val="28"/>
        </w:rPr>
        <w:t>Discussion</w:t>
      </w:r>
      <w:r w:rsidRPr="0029175B">
        <w:rPr>
          <w:b/>
          <w:sz w:val="28"/>
          <w:szCs w:val="28"/>
        </w:rPr>
        <w:t xml:space="preserve"> </w:t>
      </w:r>
      <w:r w:rsidR="00961C90" w:rsidRPr="0029175B">
        <w:rPr>
          <w:b/>
          <w:sz w:val="28"/>
          <w:szCs w:val="28"/>
        </w:rPr>
        <w:t>paper</w:t>
      </w:r>
      <w:r>
        <w:rPr>
          <w:b/>
          <w:sz w:val="28"/>
          <w:szCs w:val="28"/>
        </w:rPr>
        <w:t>:</w:t>
      </w:r>
    </w:p>
    <w:p w:rsidR="00AD4CBC" w:rsidRPr="0029175B" w:rsidRDefault="00D64049" w:rsidP="00596019">
      <w:pPr>
        <w:spacing w:line="360" w:lineRule="auto"/>
        <w:jc w:val="center"/>
        <w:rPr>
          <w:b/>
          <w:sz w:val="28"/>
          <w:szCs w:val="28"/>
        </w:rPr>
      </w:pPr>
      <w:r w:rsidRPr="0029175B">
        <w:rPr>
          <w:b/>
          <w:sz w:val="28"/>
          <w:szCs w:val="28"/>
        </w:rPr>
        <w:t xml:space="preserve">Use of </w:t>
      </w:r>
      <w:r w:rsidR="00124CD6">
        <w:rPr>
          <w:b/>
          <w:sz w:val="28"/>
          <w:szCs w:val="28"/>
        </w:rPr>
        <w:t xml:space="preserve">patient </w:t>
      </w:r>
      <w:r>
        <w:rPr>
          <w:b/>
          <w:sz w:val="28"/>
          <w:szCs w:val="28"/>
        </w:rPr>
        <w:t>disease</w:t>
      </w:r>
      <w:r w:rsidRPr="0029175B">
        <w:rPr>
          <w:b/>
          <w:sz w:val="28"/>
          <w:szCs w:val="28"/>
        </w:rPr>
        <w:t xml:space="preserve"> registries for </w:t>
      </w:r>
      <w:r w:rsidR="00596019" w:rsidRPr="0029175B">
        <w:rPr>
          <w:b/>
          <w:sz w:val="28"/>
          <w:szCs w:val="28"/>
        </w:rPr>
        <w:t>regulatory purposes</w:t>
      </w:r>
      <w:r w:rsidRPr="0029175B">
        <w:rPr>
          <w:b/>
          <w:sz w:val="28"/>
          <w:szCs w:val="28"/>
        </w:rPr>
        <w:t xml:space="preserve"> – methodological</w:t>
      </w:r>
      <w:r w:rsidR="00DC50CB">
        <w:rPr>
          <w:b/>
          <w:sz w:val="28"/>
          <w:szCs w:val="28"/>
        </w:rPr>
        <w:t xml:space="preserve"> and operational</w:t>
      </w:r>
      <w:r w:rsidRPr="0029175B">
        <w:rPr>
          <w:b/>
          <w:sz w:val="28"/>
          <w:szCs w:val="28"/>
        </w:rPr>
        <w:t xml:space="preserve"> considerations</w:t>
      </w:r>
    </w:p>
    <w:p w:rsidR="00AD4CBC" w:rsidRPr="0029175B" w:rsidRDefault="00AD4CBC" w:rsidP="00AD4CBC"/>
    <w:p w:rsidR="000532EB" w:rsidRDefault="000532EB" w:rsidP="006E7959">
      <w:pPr>
        <w:jc w:val="center"/>
      </w:pPr>
    </w:p>
    <w:p w:rsidR="00617ADC" w:rsidRDefault="00617ADC" w:rsidP="006E7959">
      <w:pPr>
        <w:jc w:val="center"/>
      </w:pPr>
    </w:p>
    <w:p w:rsidR="00BB4EDF" w:rsidRDefault="00D64049" w:rsidP="00C84D07">
      <w:pPr>
        <w:jc w:val="center"/>
        <w:rPr>
          <w:sz w:val="24"/>
          <w:szCs w:val="24"/>
        </w:rPr>
      </w:pPr>
      <w:r>
        <w:rPr>
          <w:sz w:val="24"/>
          <w:szCs w:val="24"/>
        </w:rPr>
        <w:t>The</w:t>
      </w:r>
      <w:r w:rsidR="0071261E">
        <w:rPr>
          <w:sz w:val="24"/>
          <w:szCs w:val="24"/>
        </w:rPr>
        <w:t xml:space="preserve"> </w:t>
      </w:r>
      <w:r w:rsidR="0071261E" w:rsidRPr="0071261E">
        <w:rPr>
          <w:sz w:val="24"/>
          <w:szCs w:val="24"/>
        </w:rPr>
        <w:t xml:space="preserve">Cross-Committee Task Force on Patient Registries </w:t>
      </w:r>
    </w:p>
    <w:p w:rsidR="00BB4EDF" w:rsidRDefault="00D64049">
      <w:pPr>
        <w:rPr>
          <w:sz w:val="24"/>
          <w:szCs w:val="24"/>
        </w:rPr>
      </w:pPr>
      <w:r>
        <w:rPr>
          <w:sz w:val="24"/>
          <w:szCs w:val="24"/>
        </w:rPr>
        <w:br w:type="page"/>
      </w:r>
    </w:p>
    <w:p w:rsidR="00BB4EDF" w:rsidRPr="00242D3D" w:rsidRDefault="00D64049" w:rsidP="00242D3D">
      <w:pPr>
        <w:spacing w:before="280" w:after="220"/>
        <w:rPr>
          <w:b/>
          <w:sz w:val="27"/>
          <w:szCs w:val="27"/>
        </w:rPr>
      </w:pPr>
      <w:r w:rsidRPr="00242D3D">
        <w:rPr>
          <w:b/>
          <w:sz w:val="27"/>
          <w:szCs w:val="27"/>
        </w:rPr>
        <w:lastRenderedPageBreak/>
        <w:t>Foreword</w:t>
      </w:r>
    </w:p>
    <w:p w:rsidR="00242D3D" w:rsidRPr="006E7959" w:rsidRDefault="00D64049" w:rsidP="00242D3D">
      <w:pPr>
        <w:spacing w:after="140" w:line="280" w:lineRule="exact"/>
      </w:pPr>
      <w:r w:rsidRPr="006E7959">
        <w:t xml:space="preserve">This </w:t>
      </w:r>
      <w:r>
        <w:t>discussion paper</w:t>
      </w:r>
      <w:r w:rsidRPr="006E7959">
        <w:t xml:space="preserve"> has been prepared by the Cross-Committee Task Force on Registries established </w:t>
      </w:r>
      <w:r>
        <w:t>by</w:t>
      </w:r>
      <w:r w:rsidRPr="006E7959">
        <w:t xml:space="preserve"> the EMA Patient Registries Initiative. The main objective of this initiative is to facilitate use of patient registries to support regulatory decision-making. </w:t>
      </w:r>
    </w:p>
    <w:p w:rsidR="00242D3D" w:rsidRDefault="00D64049" w:rsidP="00242D3D">
      <w:pPr>
        <w:autoSpaceDE w:val="0"/>
        <w:autoSpaceDN w:val="0"/>
        <w:adjustRightInd w:val="0"/>
        <w:spacing w:after="140" w:line="280" w:lineRule="exact"/>
      </w:pPr>
      <w:r w:rsidRPr="006E7959">
        <w:t>Th</w:t>
      </w:r>
      <w:r>
        <w:t>e</w:t>
      </w:r>
      <w:r w:rsidRPr="006E7959">
        <w:t xml:space="preserve"> paper </w:t>
      </w:r>
      <w:r w:rsidR="00F947B4">
        <w:t>discusses</w:t>
      </w:r>
      <w:r w:rsidRPr="006E7959">
        <w:t xml:space="preserve"> methodological and operational aspects of the use of patient disease registries</w:t>
      </w:r>
      <w:r>
        <w:t xml:space="preserve"> </w:t>
      </w:r>
      <w:r w:rsidRPr="006E7959">
        <w:t>and registry studies</w:t>
      </w:r>
      <w:r>
        <w:t xml:space="preserve"> </w:t>
      </w:r>
      <w:r w:rsidRPr="005814F8">
        <w:t>for regulatory purposes</w:t>
      </w:r>
      <w:r w:rsidRPr="006E7959">
        <w:t xml:space="preserve">. </w:t>
      </w:r>
      <w:r w:rsidR="002B1BE9">
        <w:t>It</w:t>
      </w:r>
      <w:r>
        <w:rPr>
          <w:rFonts w:cs="HelveticaNeueLTStd-Cn"/>
          <w:lang w:val="en-US" w:eastAsia="en-US"/>
        </w:rPr>
        <w:t xml:space="preserve"> </w:t>
      </w:r>
      <w:r>
        <w:t>h</w:t>
      </w:r>
      <w:r w:rsidR="002B1BE9">
        <w:t>as</w:t>
      </w:r>
      <w:r>
        <w:t xml:space="preserve"> been</w:t>
      </w:r>
      <w:r w:rsidRPr="006E7959">
        <w:t xml:space="preserve"> published to </w:t>
      </w:r>
      <w:r>
        <w:t>seek</w:t>
      </w:r>
      <w:r w:rsidRPr="006E7959">
        <w:t xml:space="preserve"> comments and suggestions</w:t>
      </w:r>
      <w:r>
        <w:t xml:space="preserve"> from </w:t>
      </w:r>
      <w:r w:rsidR="002B1BE9">
        <w:t xml:space="preserve">all </w:t>
      </w:r>
      <w:r>
        <w:t>the interested parties</w:t>
      </w:r>
      <w:r w:rsidRPr="006E7959">
        <w:t xml:space="preserve">. </w:t>
      </w:r>
      <w:r>
        <w:t>All the responses will</w:t>
      </w:r>
      <w:r w:rsidRPr="006E7959">
        <w:t xml:space="preserve"> be considered for the finalisation of the document with the EMA Committees in Q4 2019.</w:t>
      </w:r>
    </w:p>
    <w:p w:rsidR="00BB4EDF" w:rsidRDefault="00D64049" w:rsidP="00D415B8">
      <w:pPr>
        <w:spacing w:after="140" w:line="280" w:lineRule="exact"/>
      </w:pPr>
      <w:r w:rsidRPr="006E7959">
        <w:t xml:space="preserve">Please send your comments and suggestions </w:t>
      </w:r>
      <w:r w:rsidRPr="00F2053F">
        <w:rPr>
          <w:b/>
        </w:rPr>
        <w:t>before 30 June 2019</w:t>
      </w:r>
      <w:r w:rsidRPr="006E7959">
        <w:t xml:space="preserve"> </w:t>
      </w:r>
      <w:r w:rsidR="00D415B8">
        <w:t xml:space="preserve">by sending the </w:t>
      </w:r>
      <w:hyperlink r:id="rId8" w:history="1">
        <w:r w:rsidR="00D415B8" w:rsidRPr="00D415B8">
          <w:rPr>
            <w:rStyle w:val="Hyperlink"/>
          </w:rPr>
          <w:t>Form for submission of comments</w:t>
        </w:r>
      </w:hyperlink>
      <w:r w:rsidR="00D415B8">
        <w:t xml:space="preserve"> or an annotated version of the document (mentioning </w:t>
      </w:r>
      <w:r w:rsidR="002975C3">
        <w:t xml:space="preserve">on the first page </w:t>
      </w:r>
      <w:r w:rsidR="00D415B8">
        <w:t xml:space="preserve">your name, affiliation and contact details) </w:t>
      </w:r>
      <w:r w:rsidRPr="006E7959">
        <w:t>to:</w:t>
      </w:r>
      <w:r w:rsidRPr="00A42718">
        <w:rPr>
          <w:sz w:val="20"/>
          <w:szCs w:val="20"/>
        </w:rPr>
        <w:t xml:space="preserve"> </w:t>
      </w:r>
      <w:hyperlink r:id="rId9" w:history="1">
        <w:r w:rsidRPr="00B9470B">
          <w:rPr>
            <w:rStyle w:val="Hyperlink"/>
            <w:sz w:val="20"/>
            <w:szCs w:val="20"/>
          </w:rPr>
          <w:t>EMAregistries@ema.europa.eu</w:t>
        </w:r>
      </w:hyperlink>
      <w:r w:rsidRPr="00A42718">
        <w:rPr>
          <w:sz w:val="20"/>
          <w:szCs w:val="20"/>
        </w:rPr>
        <w:t>.</w:t>
      </w:r>
    </w:p>
    <w:p w:rsidR="00BB4EDF" w:rsidRDefault="00D64049" w:rsidP="00D415B8">
      <w:pPr>
        <w:spacing w:after="140" w:line="280" w:lineRule="exact"/>
      </w:pPr>
      <w:r>
        <w:t>Thank you.</w:t>
      </w:r>
    </w:p>
    <w:p w:rsidR="00AD4CBC" w:rsidRPr="00C84D07" w:rsidRDefault="00D64049" w:rsidP="00D415B8">
      <w:pPr>
        <w:spacing w:after="140" w:line="280" w:lineRule="exact"/>
        <w:rPr>
          <w:sz w:val="24"/>
          <w:szCs w:val="24"/>
        </w:rPr>
      </w:pPr>
      <w:r w:rsidRPr="0029175B">
        <w:br w:type="page"/>
      </w:r>
    </w:p>
    <w:sdt>
      <w:sdtPr>
        <w:rPr>
          <w:rFonts w:ascii="Verdana" w:eastAsia="SimSun" w:hAnsi="Verdana" w:cs="Times New Roman"/>
          <w:b w:val="0"/>
          <w:bCs w:val="0"/>
          <w:color w:val="auto"/>
          <w:sz w:val="18"/>
          <w:szCs w:val="18"/>
          <w:lang w:val="en-GB" w:eastAsia="en-GB"/>
        </w:rPr>
        <w:id w:val="443347112"/>
        <w:docPartObj>
          <w:docPartGallery w:val="Table of Contents"/>
          <w:docPartUnique/>
        </w:docPartObj>
      </w:sdtPr>
      <w:sdtEndPr/>
      <w:sdtContent>
        <w:p w:rsidR="00605926" w:rsidRPr="002315DD" w:rsidRDefault="00D64049">
          <w:pPr>
            <w:pStyle w:val="Inhaltsverzeichnisberschrift"/>
            <w:rPr>
              <w:rFonts w:ascii="Verdana" w:hAnsi="Verdana"/>
              <w:color w:val="auto"/>
              <w:lang w:val="en-GB"/>
            </w:rPr>
          </w:pPr>
          <w:r w:rsidRPr="002315DD">
            <w:rPr>
              <w:rFonts w:ascii="Verdana" w:hAnsi="Verdana"/>
              <w:color w:val="auto"/>
              <w:lang w:val="en-GB"/>
            </w:rPr>
            <w:t>Table of Contents</w:t>
          </w:r>
        </w:p>
        <w:p w:rsidR="00091E37" w:rsidRDefault="00D64049">
          <w:pPr>
            <w:pStyle w:val="Verzeichnis1"/>
            <w:rPr>
              <w:rFonts w:asciiTheme="minorHAnsi" w:eastAsiaTheme="minorEastAsia" w:hAnsiTheme="minorHAnsi" w:cstheme="minorBidi"/>
              <w:b w:val="0"/>
              <w:lang w:val="en-US" w:eastAsia="en-US"/>
            </w:rPr>
          </w:pPr>
          <w:r w:rsidRPr="0029175B">
            <w:rPr>
              <w:b w:val="0"/>
              <w:noProof w:val="0"/>
            </w:rPr>
            <w:fldChar w:fldCharType="begin"/>
          </w:r>
          <w:r w:rsidRPr="0029175B">
            <w:rPr>
              <w:b w:val="0"/>
              <w:noProof w:val="0"/>
            </w:rPr>
            <w:instrText xml:space="preserve"> TOC \o "1-4" \h \z \u </w:instrText>
          </w:r>
          <w:r w:rsidRPr="0029175B">
            <w:rPr>
              <w:b w:val="0"/>
              <w:noProof w:val="0"/>
            </w:rPr>
            <w:fldChar w:fldCharType="separate"/>
          </w:r>
          <w:hyperlink w:anchor="_Toc528934916" w:history="1">
            <w:r w:rsidRPr="00AB1281">
              <w:rPr>
                <w:rStyle w:val="Hyperlink"/>
              </w:rPr>
              <w:t>Abbreviations</w:t>
            </w:r>
            <w:r>
              <w:rPr>
                <w:webHidden/>
              </w:rPr>
              <w:tab/>
            </w:r>
            <w:r>
              <w:rPr>
                <w:webHidden/>
              </w:rPr>
              <w:fldChar w:fldCharType="begin"/>
            </w:r>
            <w:r>
              <w:rPr>
                <w:webHidden/>
              </w:rPr>
              <w:instrText xml:space="preserve"> PAGEREF _Toc528934916 \h </w:instrText>
            </w:r>
            <w:r>
              <w:rPr>
                <w:webHidden/>
              </w:rPr>
            </w:r>
            <w:r>
              <w:rPr>
                <w:webHidden/>
              </w:rPr>
              <w:fldChar w:fldCharType="separate"/>
            </w:r>
            <w:r>
              <w:rPr>
                <w:webHidden/>
              </w:rPr>
              <w:t>5</w:t>
            </w:r>
            <w:r>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17" w:history="1">
            <w:r w:rsidR="00D64049" w:rsidRPr="00AB1281">
              <w:rPr>
                <w:rStyle w:val="Hyperlink"/>
              </w:rPr>
              <w:t>Executive summary</w:t>
            </w:r>
            <w:r w:rsidR="00D64049">
              <w:rPr>
                <w:webHidden/>
              </w:rPr>
              <w:tab/>
            </w:r>
            <w:r w:rsidR="00D64049">
              <w:rPr>
                <w:webHidden/>
              </w:rPr>
              <w:fldChar w:fldCharType="begin"/>
            </w:r>
            <w:r w:rsidR="00D64049">
              <w:rPr>
                <w:webHidden/>
              </w:rPr>
              <w:instrText xml:space="preserve"> PAGEREF _Toc528934917 \h </w:instrText>
            </w:r>
            <w:r w:rsidR="00D64049">
              <w:rPr>
                <w:webHidden/>
              </w:rPr>
            </w:r>
            <w:r w:rsidR="00D64049">
              <w:rPr>
                <w:webHidden/>
              </w:rPr>
              <w:fldChar w:fldCharType="separate"/>
            </w:r>
            <w:r w:rsidR="00D64049">
              <w:rPr>
                <w:webHidden/>
              </w:rPr>
              <w:t>6</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18" w:history="1">
            <w:r w:rsidR="00D64049" w:rsidRPr="00AB1281">
              <w:rPr>
                <w:rStyle w:val="Hyperlink"/>
              </w:rPr>
              <w:t>1. Introduction</w:t>
            </w:r>
            <w:r w:rsidR="00D64049">
              <w:rPr>
                <w:webHidden/>
              </w:rPr>
              <w:tab/>
            </w:r>
            <w:r w:rsidR="00D64049">
              <w:rPr>
                <w:webHidden/>
              </w:rPr>
              <w:fldChar w:fldCharType="begin"/>
            </w:r>
            <w:r w:rsidR="00D64049">
              <w:rPr>
                <w:webHidden/>
              </w:rPr>
              <w:instrText xml:space="preserve"> PAGEREF _Toc528934918 \h </w:instrText>
            </w:r>
            <w:r w:rsidR="00D64049">
              <w:rPr>
                <w:webHidden/>
              </w:rPr>
            </w:r>
            <w:r w:rsidR="00D64049">
              <w:rPr>
                <w:webHidden/>
              </w:rPr>
              <w:fldChar w:fldCharType="separate"/>
            </w:r>
            <w:r w:rsidR="00D64049">
              <w:rPr>
                <w:webHidden/>
              </w:rPr>
              <w:t>10</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19" w:history="1">
            <w:r w:rsidR="00D64049" w:rsidRPr="00AB1281">
              <w:rPr>
                <w:rStyle w:val="Hyperlink"/>
              </w:rPr>
              <w:t>2. Objective</w:t>
            </w:r>
            <w:r w:rsidR="00D64049">
              <w:rPr>
                <w:webHidden/>
              </w:rPr>
              <w:tab/>
            </w:r>
            <w:r w:rsidR="00D64049">
              <w:rPr>
                <w:webHidden/>
              </w:rPr>
              <w:fldChar w:fldCharType="begin"/>
            </w:r>
            <w:r w:rsidR="00D64049">
              <w:rPr>
                <w:webHidden/>
              </w:rPr>
              <w:instrText xml:space="preserve"> PAGEREF _Toc528934919 \h </w:instrText>
            </w:r>
            <w:r w:rsidR="00D64049">
              <w:rPr>
                <w:webHidden/>
              </w:rPr>
            </w:r>
            <w:r w:rsidR="00D64049">
              <w:rPr>
                <w:webHidden/>
              </w:rPr>
              <w:fldChar w:fldCharType="separate"/>
            </w:r>
            <w:r w:rsidR="00D64049">
              <w:rPr>
                <w:webHidden/>
              </w:rPr>
              <w:t>11</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20" w:history="1">
            <w:r w:rsidR="00D64049" w:rsidRPr="00AB1281">
              <w:rPr>
                <w:rStyle w:val="Hyperlink"/>
              </w:rPr>
              <w:t>3. Core concepts</w:t>
            </w:r>
            <w:r w:rsidR="00D64049">
              <w:rPr>
                <w:webHidden/>
              </w:rPr>
              <w:tab/>
            </w:r>
            <w:r w:rsidR="00D64049">
              <w:rPr>
                <w:webHidden/>
              </w:rPr>
              <w:fldChar w:fldCharType="begin"/>
            </w:r>
            <w:r w:rsidR="00D64049">
              <w:rPr>
                <w:webHidden/>
              </w:rPr>
              <w:instrText xml:space="preserve"> PAGEREF _Toc528934920 \h </w:instrText>
            </w:r>
            <w:r w:rsidR="00D64049">
              <w:rPr>
                <w:webHidden/>
              </w:rPr>
            </w:r>
            <w:r w:rsidR="00D64049">
              <w:rPr>
                <w:webHidden/>
              </w:rPr>
              <w:fldChar w:fldCharType="separate"/>
            </w:r>
            <w:r w:rsidR="00D64049">
              <w:rPr>
                <w:webHidden/>
              </w:rPr>
              <w:t>12</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21" w:history="1">
            <w:r w:rsidR="00D64049" w:rsidRPr="00AB1281">
              <w:rPr>
                <w:rStyle w:val="Hyperlink"/>
              </w:rPr>
              <w:t>3.1. Definitions</w:t>
            </w:r>
            <w:r w:rsidR="00D64049">
              <w:rPr>
                <w:webHidden/>
              </w:rPr>
              <w:tab/>
            </w:r>
            <w:r w:rsidR="00D64049">
              <w:rPr>
                <w:webHidden/>
              </w:rPr>
              <w:fldChar w:fldCharType="begin"/>
            </w:r>
            <w:r w:rsidR="00D64049">
              <w:rPr>
                <w:webHidden/>
              </w:rPr>
              <w:instrText xml:space="preserve"> PAGEREF _Toc528934921 \h </w:instrText>
            </w:r>
            <w:r w:rsidR="00D64049">
              <w:rPr>
                <w:webHidden/>
              </w:rPr>
            </w:r>
            <w:r w:rsidR="00D64049">
              <w:rPr>
                <w:webHidden/>
              </w:rPr>
              <w:fldChar w:fldCharType="separate"/>
            </w:r>
            <w:r w:rsidR="00D64049">
              <w:rPr>
                <w:webHidden/>
              </w:rPr>
              <w:t>12</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22" w:history="1">
            <w:r w:rsidR="00D64049" w:rsidRPr="00AB1281">
              <w:rPr>
                <w:rStyle w:val="Hyperlink"/>
              </w:rPr>
              <w:t>3.2. Disease registries and product registries</w:t>
            </w:r>
            <w:r w:rsidR="00D64049">
              <w:rPr>
                <w:webHidden/>
              </w:rPr>
              <w:tab/>
            </w:r>
            <w:r w:rsidR="00D64049">
              <w:rPr>
                <w:webHidden/>
              </w:rPr>
              <w:fldChar w:fldCharType="begin"/>
            </w:r>
            <w:r w:rsidR="00D64049">
              <w:rPr>
                <w:webHidden/>
              </w:rPr>
              <w:instrText xml:space="preserve"> PAGEREF _Toc528934922 \h </w:instrText>
            </w:r>
            <w:r w:rsidR="00D64049">
              <w:rPr>
                <w:webHidden/>
              </w:rPr>
            </w:r>
            <w:r w:rsidR="00D64049">
              <w:rPr>
                <w:webHidden/>
              </w:rPr>
              <w:fldChar w:fldCharType="separate"/>
            </w:r>
            <w:r w:rsidR="00D64049">
              <w:rPr>
                <w:webHidden/>
              </w:rPr>
              <w:t>12</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23" w:history="1">
            <w:r w:rsidR="00D64049" w:rsidRPr="00AB1281">
              <w:rPr>
                <w:rStyle w:val="Hyperlink"/>
              </w:rPr>
              <w:t>3.3. Registry and registry study</w:t>
            </w:r>
            <w:r w:rsidR="00D64049">
              <w:rPr>
                <w:webHidden/>
              </w:rPr>
              <w:tab/>
            </w:r>
            <w:r w:rsidR="00D64049">
              <w:rPr>
                <w:webHidden/>
              </w:rPr>
              <w:fldChar w:fldCharType="begin"/>
            </w:r>
            <w:r w:rsidR="00D64049">
              <w:rPr>
                <w:webHidden/>
              </w:rPr>
              <w:instrText xml:space="preserve"> PAGEREF _Toc528934923 \h </w:instrText>
            </w:r>
            <w:r w:rsidR="00D64049">
              <w:rPr>
                <w:webHidden/>
              </w:rPr>
            </w:r>
            <w:r w:rsidR="00D64049">
              <w:rPr>
                <w:webHidden/>
              </w:rPr>
              <w:fldChar w:fldCharType="separate"/>
            </w:r>
            <w:r w:rsidR="00D64049">
              <w:rPr>
                <w:webHidden/>
              </w:rPr>
              <w:t>13</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24" w:history="1">
            <w:r w:rsidR="00D64049" w:rsidRPr="00AB1281">
              <w:rPr>
                <w:rStyle w:val="Hyperlink"/>
              </w:rPr>
              <w:t>4. Use of patient disease registries in medicines regulation</w:t>
            </w:r>
            <w:r w:rsidR="00D64049">
              <w:rPr>
                <w:webHidden/>
              </w:rPr>
              <w:tab/>
            </w:r>
            <w:r w:rsidR="00D64049">
              <w:rPr>
                <w:webHidden/>
              </w:rPr>
              <w:fldChar w:fldCharType="begin"/>
            </w:r>
            <w:r w:rsidR="00D64049">
              <w:rPr>
                <w:webHidden/>
              </w:rPr>
              <w:instrText xml:space="preserve"> PAGEREF _Toc528934924 \h </w:instrText>
            </w:r>
            <w:r w:rsidR="00D64049">
              <w:rPr>
                <w:webHidden/>
              </w:rPr>
            </w:r>
            <w:r w:rsidR="00D64049">
              <w:rPr>
                <w:webHidden/>
              </w:rPr>
              <w:fldChar w:fldCharType="separate"/>
            </w:r>
            <w:r w:rsidR="00D64049">
              <w:rPr>
                <w:webHidden/>
              </w:rPr>
              <w:t>16</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25" w:history="1">
            <w:r w:rsidR="00D64049" w:rsidRPr="00AB1281">
              <w:rPr>
                <w:rStyle w:val="Hyperlink"/>
              </w:rPr>
              <w:t>5. Good registry practice</w:t>
            </w:r>
            <w:r w:rsidR="00D64049">
              <w:rPr>
                <w:webHidden/>
              </w:rPr>
              <w:tab/>
            </w:r>
            <w:r w:rsidR="00D64049">
              <w:rPr>
                <w:webHidden/>
              </w:rPr>
              <w:fldChar w:fldCharType="begin"/>
            </w:r>
            <w:r w:rsidR="00D64049">
              <w:rPr>
                <w:webHidden/>
              </w:rPr>
              <w:instrText xml:space="preserve"> PAGEREF _Toc528934925 \h </w:instrText>
            </w:r>
            <w:r w:rsidR="00D64049">
              <w:rPr>
                <w:webHidden/>
              </w:rPr>
            </w:r>
            <w:r w:rsidR="00D64049">
              <w:rPr>
                <w:webHidden/>
              </w:rPr>
              <w:fldChar w:fldCharType="separate"/>
            </w:r>
            <w:r w:rsidR="00D64049">
              <w:rPr>
                <w:webHidden/>
              </w:rPr>
              <w:t>18</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26" w:history="1">
            <w:r w:rsidR="00D64049" w:rsidRPr="00AB1281">
              <w:rPr>
                <w:rStyle w:val="Hyperlink"/>
              </w:rPr>
              <w:t>5.1. General consideration</w:t>
            </w:r>
            <w:r w:rsidR="00D64049">
              <w:rPr>
                <w:webHidden/>
              </w:rPr>
              <w:tab/>
            </w:r>
            <w:r w:rsidR="00D64049">
              <w:rPr>
                <w:webHidden/>
              </w:rPr>
              <w:fldChar w:fldCharType="begin"/>
            </w:r>
            <w:r w:rsidR="00D64049">
              <w:rPr>
                <w:webHidden/>
              </w:rPr>
              <w:instrText xml:space="preserve"> PAGEREF _Toc528934926 \h </w:instrText>
            </w:r>
            <w:r w:rsidR="00D64049">
              <w:rPr>
                <w:webHidden/>
              </w:rPr>
            </w:r>
            <w:r w:rsidR="00D64049">
              <w:rPr>
                <w:webHidden/>
              </w:rPr>
              <w:fldChar w:fldCharType="separate"/>
            </w:r>
            <w:r w:rsidR="00D64049">
              <w:rPr>
                <w:webHidden/>
              </w:rPr>
              <w:t>18</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27" w:history="1">
            <w:r w:rsidR="00D64049" w:rsidRPr="00AB1281">
              <w:rPr>
                <w:rStyle w:val="Hyperlink"/>
              </w:rPr>
              <w:t>5.2. Patient population</w:t>
            </w:r>
            <w:r w:rsidR="00D64049">
              <w:rPr>
                <w:webHidden/>
              </w:rPr>
              <w:tab/>
            </w:r>
            <w:r w:rsidR="00D64049">
              <w:rPr>
                <w:webHidden/>
              </w:rPr>
              <w:fldChar w:fldCharType="begin"/>
            </w:r>
            <w:r w:rsidR="00D64049">
              <w:rPr>
                <w:webHidden/>
              </w:rPr>
              <w:instrText xml:space="preserve"> PAGEREF _Toc528934927 \h </w:instrText>
            </w:r>
            <w:r w:rsidR="00D64049">
              <w:rPr>
                <w:webHidden/>
              </w:rPr>
            </w:r>
            <w:r w:rsidR="00D64049">
              <w:rPr>
                <w:webHidden/>
              </w:rPr>
              <w:fldChar w:fldCharType="separate"/>
            </w:r>
            <w:r w:rsidR="00D64049">
              <w:rPr>
                <w:webHidden/>
              </w:rPr>
              <w:t>18</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28" w:history="1">
            <w:r w:rsidR="00D64049" w:rsidRPr="00AB1281">
              <w:rPr>
                <w:rStyle w:val="Hyperlink"/>
              </w:rPr>
              <w:t>5.3. Time elements</w:t>
            </w:r>
            <w:r w:rsidR="00D64049">
              <w:rPr>
                <w:webHidden/>
              </w:rPr>
              <w:tab/>
            </w:r>
            <w:r w:rsidR="00D64049">
              <w:rPr>
                <w:webHidden/>
              </w:rPr>
              <w:fldChar w:fldCharType="begin"/>
            </w:r>
            <w:r w:rsidR="00D64049">
              <w:rPr>
                <w:webHidden/>
              </w:rPr>
              <w:instrText xml:space="preserve"> PAGEREF _Toc528934928 \h </w:instrText>
            </w:r>
            <w:r w:rsidR="00D64049">
              <w:rPr>
                <w:webHidden/>
              </w:rPr>
            </w:r>
            <w:r w:rsidR="00D64049">
              <w:rPr>
                <w:webHidden/>
              </w:rPr>
              <w:fldChar w:fldCharType="separate"/>
            </w:r>
            <w:r w:rsidR="00D64049">
              <w:rPr>
                <w:webHidden/>
              </w:rPr>
              <w:t>19</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29" w:history="1">
            <w:r w:rsidR="00D64049" w:rsidRPr="00AB1281">
              <w:rPr>
                <w:rStyle w:val="Hyperlink"/>
              </w:rPr>
              <w:t>5.4. Core data elements</w:t>
            </w:r>
            <w:r w:rsidR="00D64049">
              <w:rPr>
                <w:webHidden/>
              </w:rPr>
              <w:tab/>
            </w:r>
            <w:r w:rsidR="00D64049">
              <w:rPr>
                <w:webHidden/>
              </w:rPr>
              <w:fldChar w:fldCharType="begin"/>
            </w:r>
            <w:r w:rsidR="00D64049">
              <w:rPr>
                <w:webHidden/>
              </w:rPr>
              <w:instrText xml:space="preserve"> PAGEREF _Toc528934929 \h </w:instrText>
            </w:r>
            <w:r w:rsidR="00D64049">
              <w:rPr>
                <w:webHidden/>
              </w:rPr>
            </w:r>
            <w:r w:rsidR="00D64049">
              <w:rPr>
                <w:webHidden/>
              </w:rPr>
              <w:fldChar w:fldCharType="separate"/>
            </w:r>
            <w:r w:rsidR="00D64049">
              <w:rPr>
                <w:webHidden/>
              </w:rPr>
              <w:t>20</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30" w:history="1">
            <w:r w:rsidR="00D64049" w:rsidRPr="00AB1281">
              <w:rPr>
                <w:rStyle w:val="Hyperlink"/>
              </w:rPr>
              <w:t>5.5. Terminologies</w:t>
            </w:r>
            <w:r w:rsidR="00D64049">
              <w:rPr>
                <w:webHidden/>
              </w:rPr>
              <w:tab/>
            </w:r>
            <w:r w:rsidR="00D64049">
              <w:rPr>
                <w:webHidden/>
              </w:rPr>
              <w:fldChar w:fldCharType="begin"/>
            </w:r>
            <w:r w:rsidR="00D64049">
              <w:rPr>
                <w:webHidden/>
              </w:rPr>
              <w:instrText xml:space="preserve"> PAGEREF _Toc528934930 \h </w:instrText>
            </w:r>
            <w:r w:rsidR="00D64049">
              <w:rPr>
                <w:webHidden/>
              </w:rPr>
            </w:r>
            <w:r w:rsidR="00D64049">
              <w:rPr>
                <w:webHidden/>
              </w:rPr>
              <w:fldChar w:fldCharType="separate"/>
            </w:r>
            <w:r w:rsidR="00D64049">
              <w:rPr>
                <w:webHidden/>
              </w:rPr>
              <w:t>21</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31" w:history="1">
            <w:r w:rsidR="00D64049" w:rsidRPr="00AB1281">
              <w:rPr>
                <w:rStyle w:val="Hyperlink"/>
              </w:rPr>
              <w:t>5.6. Quality management</w:t>
            </w:r>
            <w:r w:rsidR="00D64049">
              <w:rPr>
                <w:webHidden/>
              </w:rPr>
              <w:tab/>
            </w:r>
            <w:r w:rsidR="00D64049">
              <w:rPr>
                <w:webHidden/>
              </w:rPr>
              <w:fldChar w:fldCharType="begin"/>
            </w:r>
            <w:r w:rsidR="00D64049">
              <w:rPr>
                <w:webHidden/>
              </w:rPr>
              <w:instrText xml:space="preserve"> PAGEREF _Toc528934931 \h </w:instrText>
            </w:r>
            <w:r w:rsidR="00D64049">
              <w:rPr>
                <w:webHidden/>
              </w:rPr>
            </w:r>
            <w:r w:rsidR="00D64049">
              <w:rPr>
                <w:webHidden/>
              </w:rPr>
              <w:fldChar w:fldCharType="separate"/>
            </w:r>
            <w:r w:rsidR="00D64049">
              <w:rPr>
                <w:webHidden/>
              </w:rPr>
              <w:t>23</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32" w:history="1">
            <w:r w:rsidR="00D64049" w:rsidRPr="00AB1281">
              <w:rPr>
                <w:rStyle w:val="Hyperlink"/>
              </w:rPr>
              <w:t>5.6.1. Importance of quality management</w:t>
            </w:r>
            <w:r w:rsidR="00D64049">
              <w:rPr>
                <w:webHidden/>
              </w:rPr>
              <w:tab/>
            </w:r>
            <w:r w:rsidR="00D64049">
              <w:rPr>
                <w:webHidden/>
              </w:rPr>
              <w:fldChar w:fldCharType="begin"/>
            </w:r>
            <w:r w:rsidR="00D64049">
              <w:rPr>
                <w:webHidden/>
              </w:rPr>
              <w:instrText xml:space="preserve"> PAGEREF _Toc528934932 \h </w:instrText>
            </w:r>
            <w:r w:rsidR="00D64049">
              <w:rPr>
                <w:webHidden/>
              </w:rPr>
            </w:r>
            <w:r w:rsidR="00D64049">
              <w:rPr>
                <w:webHidden/>
              </w:rPr>
              <w:fldChar w:fldCharType="separate"/>
            </w:r>
            <w:r w:rsidR="00D64049">
              <w:rPr>
                <w:webHidden/>
              </w:rPr>
              <w:t>23</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33" w:history="1">
            <w:r w:rsidR="00D64049" w:rsidRPr="00AB1281">
              <w:rPr>
                <w:rStyle w:val="Hyperlink"/>
              </w:rPr>
              <w:t>5.6.2. Requirements of data quality</w:t>
            </w:r>
            <w:r w:rsidR="00D64049">
              <w:rPr>
                <w:webHidden/>
              </w:rPr>
              <w:tab/>
            </w:r>
            <w:r w:rsidR="00D64049">
              <w:rPr>
                <w:webHidden/>
              </w:rPr>
              <w:fldChar w:fldCharType="begin"/>
            </w:r>
            <w:r w:rsidR="00D64049">
              <w:rPr>
                <w:webHidden/>
              </w:rPr>
              <w:instrText xml:space="preserve"> PAGEREF _Toc528934933 \h </w:instrText>
            </w:r>
            <w:r w:rsidR="00D64049">
              <w:rPr>
                <w:webHidden/>
              </w:rPr>
            </w:r>
            <w:r w:rsidR="00D64049">
              <w:rPr>
                <w:webHidden/>
              </w:rPr>
              <w:fldChar w:fldCharType="separate"/>
            </w:r>
            <w:r w:rsidR="00D64049">
              <w:rPr>
                <w:webHidden/>
              </w:rPr>
              <w:t>24</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34" w:history="1">
            <w:r w:rsidR="00D64049" w:rsidRPr="00AB1281">
              <w:rPr>
                <w:rStyle w:val="Hyperlink"/>
              </w:rPr>
              <w:t>5.6.3. Measures to improve data quality</w:t>
            </w:r>
            <w:r w:rsidR="00D64049">
              <w:rPr>
                <w:webHidden/>
              </w:rPr>
              <w:tab/>
            </w:r>
            <w:r w:rsidR="00D64049">
              <w:rPr>
                <w:webHidden/>
              </w:rPr>
              <w:fldChar w:fldCharType="begin"/>
            </w:r>
            <w:r w:rsidR="00D64049">
              <w:rPr>
                <w:webHidden/>
              </w:rPr>
              <w:instrText xml:space="preserve"> PAGEREF _Toc528934934 \h </w:instrText>
            </w:r>
            <w:r w:rsidR="00D64049">
              <w:rPr>
                <w:webHidden/>
              </w:rPr>
            </w:r>
            <w:r w:rsidR="00D64049">
              <w:rPr>
                <w:webHidden/>
              </w:rPr>
              <w:fldChar w:fldCharType="separate"/>
            </w:r>
            <w:r w:rsidR="00D64049">
              <w:rPr>
                <w:webHidden/>
              </w:rPr>
              <w:t>25</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35" w:history="1">
            <w:r w:rsidR="00D64049" w:rsidRPr="00AB1281">
              <w:rPr>
                <w:rStyle w:val="Hyperlink"/>
              </w:rPr>
              <w:t>5.6.3.1. Data quality activities at management level</w:t>
            </w:r>
            <w:r w:rsidR="00D64049">
              <w:rPr>
                <w:webHidden/>
              </w:rPr>
              <w:tab/>
            </w:r>
            <w:r w:rsidR="00D64049">
              <w:rPr>
                <w:webHidden/>
              </w:rPr>
              <w:fldChar w:fldCharType="begin"/>
            </w:r>
            <w:r w:rsidR="00D64049">
              <w:rPr>
                <w:webHidden/>
              </w:rPr>
              <w:instrText xml:space="preserve"> PAGEREF _Toc528934935 \h </w:instrText>
            </w:r>
            <w:r w:rsidR="00D64049">
              <w:rPr>
                <w:webHidden/>
              </w:rPr>
            </w:r>
            <w:r w:rsidR="00D64049">
              <w:rPr>
                <w:webHidden/>
              </w:rPr>
              <w:fldChar w:fldCharType="separate"/>
            </w:r>
            <w:r w:rsidR="00D64049">
              <w:rPr>
                <w:webHidden/>
              </w:rPr>
              <w:t>25</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36" w:history="1">
            <w:r w:rsidR="00D64049" w:rsidRPr="00AB1281">
              <w:rPr>
                <w:rStyle w:val="Hyperlink"/>
              </w:rPr>
              <w:t>5.6.3.2. Data quality activities at operational level</w:t>
            </w:r>
            <w:r w:rsidR="00D64049">
              <w:rPr>
                <w:webHidden/>
              </w:rPr>
              <w:tab/>
            </w:r>
            <w:r w:rsidR="00D64049">
              <w:rPr>
                <w:webHidden/>
              </w:rPr>
              <w:fldChar w:fldCharType="begin"/>
            </w:r>
            <w:r w:rsidR="00D64049">
              <w:rPr>
                <w:webHidden/>
              </w:rPr>
              <w:instrText xml:space="preserve"> PAGEREF _Toc528934936 \h </w:instrText>
            </w:r>
            <w:r w:rsidR="00D64049">
              <w:rPr>
                <w:webHidden/>
              </w:rPr>
            </w:r>
            <w:r w:rsidR="00D64049">
              <w:rPr>
                <w:webHidden/>
              </w:rPr>
              <w:fldChar w:fldCharType="separate"/>
            </w:r>
            <w:r w:rsidR="00D64049">
              <w:rPr>
                <w:webHidden/>
              </w:rPr>
              <w:t>25</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37" w:history="1">
            <w:r w:rsidR="00D64049" w:rsidRPr="00AB1281">
              <w:rPr>
                <w:rStyle w:val="Hyperlink"/>
              </w:rPr>
              <w:t>5.6.4. Indicators of data quality</w:t>
            </w:r>
            <w:r w:rsidR="00D64049">
              <w:rPr>
                <w:webHidden/>
              </w:rPr>
              <w:tab/>
            </w:r>
            <w:r w:rsidR="00D64049">
              <w:rPr>
                <w:webHidden/>
              </w:rPr>
              <w:fldChar w:fldCharType="begin"/>
            </w:r>
            <w:r w:rsidR="00D64049">
              <w:rPr>
                <w:webHidden/>
              </w:rPr>
              <w:instrText xml:space="preserve"> PAGEREF _Toc528934937 \h </w:instrText>
            </w:r>
            <w:r w:rsidR="00D64049">
              <w:rPr>
                <w:webHidden/>
              </w:rPr>
            </w:r>
            <w:r w:rsidR="00D64049">
              <w:rPr>
                <w:webHidden/>
              </w:rPr>
              <w:fldChar w:fldCharType="separate"/>
            </w:r>
            <w:r w:rsidR="00D64049">
              <w:rPr>
                <w:webHidden/>
              </w:rPr>
              <w:t>26</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38" w:history="1">
            <w:r w:rsidR="00D64049" w:rsidRPr="00AB1281">
              <w:rPr>
                <w:rStyle w:val="Hyperlink"/>
              </w:rPr>
              <w:t>5.7. Safety analysis</w:t>
            </w:r>
            <w:r w:rsidR="00D64049">
              <w:rPr>
                <w:webHidden/>
              </w:rPr>
              <w:tab/>
            </w:r>
            <w:r w:rsidR="00D64049">
              <w:rPr>
                <w:webHidden/>
              </w:rPr>
              <w:fldChar w:fldCharType="begin"/>
            </w:r>
            <w:r w:rsidR="00D64049">
              <w:rPr>
                <w:webHidden/>
              </w:rPr>
              <w:instrText xml:space="preserve"> PAGEREF _Toc528934938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39" w:history="1">
            <w:r w:rsidR="00D64049" w:rsidRPr="00AB1281">
              <w:rPr>
                <w:rStyle w:val="Hyperlink"/>
              </w:rPr>
              <w:t>5.7.1. Reporting of safety information</w:t>
            </w:r>
            <w:r w:rsidR="00D64049">
              <w:rPr>
                <w:webHidden/>
              </w:rPr>
              <w:tab/>
            </w:r>
            <w:r w:rsidR="00D64049">
              <w:rPr>
                <w:webHidden/>
              </w:rPr>
              <w:fldChar w:fldCharType="begin"/>
            </w:r>
            <w:r w:rsidR="00D64049">
              <w:rPr>
                <w:webHidden/>
              </w:rPr>
              <w:instrText xml:space="preserve"> PAGEREF _Toc528934939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40" w:history="1">
            <w:r w:rsidR="00D64049" w:rsidRPr="00AB1281">
              <w:rPr>
                <w:rStyle w:val="Hyperlink"/>
              </w:rPr>
              <w:t>5.7.2. Monitoring of adverse events of special interests</w:t>
            </w:r>
            <w:r w:rsidR="00D64049">
              <w:rPr>
                <w:webHidden/>
              </w:rPr>
              <w:tab/>
            </w:r>
            <w:r w:rsidR="00D64049">
              <w:rPr>
                <w:webHidden/>
              </w:rPr>
              <w:fldChar w:fldCharType="begin"/>
            </w:r>
            <w:r w:rsidR="00D64049">
              <w:rPr>
                <w:webHidden/>
              </w:rPr>
              <w:instrText xml:space="preserve"> PAGEREF _Toc528934940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41" w:history="1">
            <w:r w:rsidR="00D64049" w:rsidRPr="00AB1281">
              <w:rPr>
                <w:rStyle w:val="Hyperlink"/>
              </w:rPr>
              <w:t>5.7.3. Aggregate analysis of adverse events</w:t>
            </w:r>
            <w:r w:rsidR="00D64049">
              <w:rPr>
                <w:webHidden/>
              </w:rPr>
              <w:tab/>
            </w:r>
            <w:r w:rsidR="00D64049">
              <w:rPr>
                <w:webHidden/>
              </w:rPr>
              <w:fldChar w:fldCharType="begin"/>
            </w:r>
            <w:r w:rsidR="00D64049">
              <w:rPr>
                <w:webHidden/>
              </w:rPr>
              <w:instrText xml:space="preserve"> PAGEREF _Toc528934941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42" w:history="1">
            <w:r w:rsidR="00D64049" w:rsidRPr="00AB1281">
              <w:rPr>
                <w:rStyle w:val="Hyperlink"/>
              </w:rPr>
              <w:t>5.8. Governance</w:t>
            </w:r>
            <w:r w:rsidR="00D64049">
              <w:rPr>
                <w:webHidden/>
              </w:rPr>
              <w:tab/>
            </w:r>
            <w:r w:rsidR="00D64049">
              <w:rPr>
                <w:webHidden/>
              </w:rPr>
              <w:fldChar w:fldCharType="begin"/>
            </w:r>
            <w:r w:rsidR="00D64049">
              <w:rPr>
                <w:webHidden/>
              </w:rPr>
              <w:instrText xml:space="preserve"> PAGEREF _Toc528934942 \h </w:instrText>
            </w:r>
            <w:r w:rsidR="00D64049">
              <w:rPr>
                <w:webHidden/>
              </w:rPr>
            </w:r>
            <w:r w:rsidR="00D64049">
              <w:rPr>
                <w:webHidden/>
              </w:rPr>
              <w:fldChar w:fldCharType="separate"/>
            </w:r>
            <w:r w:rsidR="00D64049">
              <w:rPr>
                <w:webHidden/>
              </w:rPr>
              <w:t>29</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43" w:history="1">
            <w:r w:rsidR="00D64049" w:rsidRPr="00AB1281">
              <w:rPr>
                <w:rStyle w:val="Hyperlink"/>
              </w:rPr>
              <w:t>5.8.1. Governance principles</w:t>
            </w:r>
            <w:r w:rsidR="00D64049">
              <w:rPr>
                <w:webHidden/>
              </w:rPr>
              <w:tab/>
            </w:r>
            <w:r w:rsidR="00D64049">
              <w:rPr>
                <w:webHidden/>
              </w:rPr>
              <w:fldChar w:fldCharType="begin"/>
            </w:r>
            <w:r w:rsidR="00D64049">
              <w:rPr>
                <w:webHidden/>
              </w:rPr>
              <w:instrText xml:space="preserve"> PAGEREF _Toc528934943 \h </w:instrText>
            </w:r>
            <w:r w:rsidR="00D64049">
              <w:rPr>
                <w:webHidden/>
              </w:rPr>
            </w:r>
            <w:r w:rsidR="00D64049">
              <w:rPr>
                <w:webHidden/>
              </w:rPr>
              <w:fldChar w:fldCharType="separate"/>
            </w:r>
            <w:r w:rsidR="00D64049">
              <w:rPr>
                <w:webHidden/>
              </w:rPr>
              <w:t>29</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44" w:history="1">
            <w:r w:rsidR="00D64049" w:rsidRPr="00AB1281">
              <w:rPr>
                <w:rStyle w:val="Hyperlink"/>
              </w:rPr>
              <w:t>5.8.1.1. Role of registry coordinators</w:t>
            </w:r>
            <w:r w:rsidR="00D64049">
              <w:rPr>
                <w:webHidden/>
              </w:rPr>
              <w:tab/>
            </w:r>
            <w:r w:rsidR="00D64049">
              <w:rPr>
                <w:webHidden/>
              </w:rPr>
              <w:fldChar w:fldCharType="begin"/>
            </w:r>
            <w:r w:rsidR="00D64049">
              <w:rPr>
                <w:webHidden/>
              </w:rPr>
              <w:instrText xml:space="preserve"> PAGEREF _Toc528934944 \h </w:instrText>
            </w:r>
            <w:r w:rsidR="00D64049">
              <w:rPr>
                <w:webHidden/>
              </w:rPr>
            </w:r>
            <w:r w:rsidR="00D64049">
              <w:rPr>
                <w:webHidden/>
              </w:rPr>
              <w:fldChar w:fldCharType="separate"/>
            </w:r>
            <w:r w:rsidR="00D64049">
              <w:rPr>
                <w:webHidden/>
              </w:rPr>
              <w:t>29</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45" w:history="1">
            <w:r w:rsidR="00D64049" w:rsidRPr="00AB1281">
              <w:rPr>
                <w:rStyle w:val="Hyperlink"/>
              </w:rPr>
              <w:t>5.8.1.2. Role of pharmaceutical companies</w:t>
            </w:r>
            <w:r w:rsidR="00D64049">
              <w:rPr>
                <w:webHidden/>
              </w:rPr>
              <w:tab/>
            </w:r>
            <w:r w:rsidR="00D64049">
              <w:rPr>
                <w:webHidden/>
              </w:rPr>
              <w:fldChar w:fldCharType="begin"/>
            </w:r>
            <w:r w:rsidR="00D64049">
              <w:rPr>
                <w:webHidden/>
              </w:rPr>
              <w:instrText xml:space="preserve"> PAGEREF _Toc528934945 \h </w:instrText>
            </w:r>
            <w:r w:rsidR="00D64049">
              <w:rPr>
                <w:webHidden/>
              </w:rPr>
            </w:r>
            <w:r w:rsidR="00D64049">
              <w:rPr>
                <w:webHidden/>
              </w:rPr>
              <w:fldChar w:fldCharType="separate"/>
            </w:r>
            <w:r w:rsidR="00D64049">
              <w:rPr>
                <w:webHidden/>
              </w:rPr>
              <w:t>30</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46" w:history="1">
            <w:r w:rsidR="00D64049" w:rsidRPr="00AB1281">
              <w:rPr>
                <w:rStyle w:val="Hyperlink"/>
              </w:rPr>
              <w:t>5.8.1.3. Role of regulatory authorities</w:t>
            </w:r>
            <w:r w:rsidR="00D64049">
              <w:rPr>
                <w:webHidden/>
              </w:rPr>
              <w:tab/>
            </w:r>
            <w:r w:rsidR="00D64049">
              <w:rPr>
                <w:webHidden/>
              </w:rPr>
              <w:fldChar w:fldCharType="begin"/>
            </w:r>
            <w:r w:rsidR="00D64049">
              <w:rPr>
                <w:webHidden/>
              </w:rPr>
              <w:instrText xml:space="preserve"> PAGEREF _Toc528934946 \h </w:instrText>
            </w:r>
            <w:r w:rsidR="00D64049">
              <w:rPr>
                <w:webHidden/>
              </w:rPr>
            </w:r>
            <w:r w:rsidR="00D64049">
              <w:rPr>
                <w:webHidden/>
              </w:rPr>
              <w:fldChar w:fldCharType="separate"/>
            </w:r>
            <w:r w:rsidR="00D64049">
              <w:rPr>
                <w:webHidden/>
              </w:rPr>
              <w:t>30</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47" w:history="1">
            <w:r w:rsidR="00D64049" w:rsidRPr="00AB1281">
              <w:rPr>
                <w:rStyle w:val="Hyperlink"/>
              </w:rPr>
              <w:t>5.8.2. Data ownership and intellectual property</w:t>
            </w:r>
            <w:r w:rsidR="00D64049">
              <w:rPr>
                <w:webHidden/>
              </w:rPr>
              <w:tab/>
            </w:r>
            <w:r w:rsidR="00D64049">
              <w:rPr>
                <w:webHidden/>
              </w:rPr>
              <w:fldChar w:fldCharType="begin"/>
            </w:r>
            <w:r w:rsidR="00D64049">
              <w:rPr>
                <w:webHidden/>
              </w:rPr>
              <w:instrText xml:space="preserve"> PAGEREF _Toc528934947 \h </w:instrText>
            </w:r>
            <w:r w:rsidR="00D64049">
              <w:rPr>
                <w:webHidden/>
              </w:rPr>
            </w:r>
            <w:r w:rsidR="00D64049">
              <w:rPr>
                <w:webHidden/>
              </w:rPr>
              <w:fldChar w:fldCharType="separate"/>
            </w:r>
            <w:r w:rsidR="00D64049">
              <w:rPr>
                <w:webHidden/>
              </w:rPr>
              <w:t>31</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48" w:history="1">
            <w:r w:rsidR="00D64049" w:rsidRPr="00AB1281">
              <w:rPr>
                <w:rStyle w:val="Hyperlink"/>
              </w:rPr>
              <w:t>5.8.3. Data sharing</w:t>
            </w:r>
            <w:r w:rsidR="00D64049">
              <w:rPr>
                <w:webHidden/>
              </w:rPr>
              <w:tab/>
            </w:r>
            <w:r w:rsidR="00D64049">
              <w:rPr>
                <w:webHidden/>
              </w:rPr>
              <w:fldChar w:fldCharType="begin"/>
            </w:r>
            <w:r w:rsidR="00D64049">
              <w:rPr>
                <w:webHidden/>
              </w:rPr>
              <w:instrText xml:space="preserve"> PAGEREF _Toc528934948 \h </w:instrText>
            </w:r>
            <w:r w:rsidR="00D64049">
              <w:rPr>
                <w:webHidden/>
              </w:rPr>
            </w:r>
            <w:r w:rsidR="00D64049">
              <w:rPr>
                <w:webHidden/>
              </w:rPr>
              <w:fldChar w:fldCharType="separate"/>
            </w:r>
            <w:r w:rsidR="00D64049">
              <w:rPr>
                <w:webHidden/>
              </w:rPr>
              <w:t>31</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49" w:history="1">
            <w:r w:rsidR="00D64049" w:rsidRPr="00AB1281">
              <w:rPr>
                <w:rStyle w:val="Hyperlink"/>
              </w:rPr>
              <w:t>5.8.3.1. General considerations</w:t>
            </w:r>
            <w:r w:rsidR="00D64049">
              <w:rPr>
                <w:webHidden/>
              </w:rPr>
              <w:tab/>
            </w:r>
            <w:r w:rsidR="00D64049">
              <w:rPr>
                <w:webHidden/>
              </w:rPr>
              <w:fldChar w:fldCharType="begin"/>
            </w:r>
            <w:r w:rsidR="00D64049">
              <w:rPr>
                <w:webHidden/>
              </w:rPr>
              <w:instrText xml:space="preserve"> PAGEREF _Toc528934949 \h </w:instrText>
            </w:r>
            <w:r w:rsidR="00D64049">
              <w:rPr>
                <w:webHidden/>
              </w:rPr>
            </w:r>
            <w:r w:rsidR="00D64049">
              <w:rPr>
                <w:webHidden/>
              </w:rPr>
              <w:fldChar w:fldCharType="separate"/>
            </w:r>
            <w:r w:rsidR="00D64049">
              <w:rPr>
                <w:webHidden/>
              </w:rPr>
              <w:t>31</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50" w:history="1">
            <w:r w:rsidR="00D64049" w:rsidRPr="00AB1281">
              <w:rPr>
                <w:rStyle w:val="Hyperlink"/>
              </w:rPr>
              <w:t>5.8.3.2. Data sharing with MAAs/MAHs</w:t>
            </w:r>
            <w:r w:rsidR="00D64049">
              <w:rPr>
                <w:webHidden/>
              </w:rPr>
              <w:tab/>
            </w:r>
            <w:r w:rsidR="00D64049">
              <w:rPr>
                <w:webHidden/>
              </w:rPr>
              <w:fldChar w:fldCharType="begin"/>
            </w:r>
            <w:r w:rsidR="00D64049">
              <w:rPr>
                <w:webHidden/>
              </w:rPr>
              <w:instrText xml:space="preserve"> PAGEREF _Toc528934950 \h </w:instrText>
            </w:r>
            <w:r w:rsidR="00D64049">
              <w:rPr>
                <w:webHidden/>
              </w:rPr>
            </w:r>
            <w:r w:rsidR="00D64049">
              <w:rPr>
                <w:webHidden/>
              </w:rPr>
              <w:fldChar w:fldCharType="separate"/>
            </w:r>
            <w:r w:rsidR="00D64049">
              <w:rPr>
                <w:webHidden/>
              </w:rPr>
              <w:t>32</w:t>
            </w:r>
            <w:r w:rsidR="00D64049">
              <w:rPr>
                <w:webHidden/>
              </w:rPr>
              <w:fldChar w:fldCharType="end"/>
            </w:r>
          </w:hyperlink>
        </w:p>
        <w:p w:rsidR="00091E37" w:rsidRDefault="00715D5C" w:rsidP="00091E37">
          <w:pPr>
            <w:pStyle w:val="Verzeichnis4"/>
            <w:ind w:left="1440"/>
            <w:rPr>
              <w:rFonts w:asciiTheme="minorHAnsi" w:eastAsiaTheme="minorEastAsia" w:hAnsiTheme="minorHAnsi" w:cstheme="minorBidi"/>
              <w:sz w:val="22"/>
              <w:szCs w:val="22"/>
              <w:lang w:val="en-US" w:eastAsia="en-US"/>
            </w:rPr>
          </w:pPr>
          <w:hyperlink w:anchor="_Toc528934951" w:history="1">
            <w:r w:rsidR="00D64049" w:rsidRPr="00AB1281">
              <w:rPr>
                <w:rStyle w:val="Hyperlink"/>
              </w:rPr>
              <w:t>5.8.3.3. Data sharing with regulators</w:t>
            </w:r>
            <w:r w:rsidR="00D64049">
              <w:rPr>
                <w:webHidden/>
              </w:rPr>
              <w:tab/>
            </w:r>
            <w:r w:rsidR="00D64049">
              <w:rPr>
                <w:webHidden/>
              </w:rPr>
              <w:fldChar w:fldCharType="begin"/>
            </w:r>
            <w:r w:rsidR="00D64049">
              <w:rPr>
                <w:webHidden/>
              </w:rPr>
              <w:instrText xml:space="preserve"> PAGEREF _Toc528934951 \h </w:instrText>
            </w:r>
            <w:r w:rsidR="00D64049">
              <w:rPr>
                <w:webHidden/>
              </w:rPr>
            </w:r>
            <w:r w:rsidR="00D64049">
              <w:rPr>
                <w:webHidden/>
              </w:rPr>
              <w:fldChar w:fldCharType="separate"/>
            </w:r>
            <w:r w:rsidR="00D64049">
              <w:rPr>
                <w:webHidden/>
              </w:rPr>
              <w:t>33</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52" w:history="1">
            <w:r w:rsidR="00D64049" w:rsidRPr="00AB1281">
              <w:rPr>
                <w:rStyle w:val="Hyperlink"/>
              </w:rPr>
              <w:t>5.8.4. Informed consent</w:t>
            </w:r>
            <w:r w:rsidR="00D64049">
              <w:rPr>
                <w:webHidden/>
              </w:rPr>
              <w:tab/>
            </w:r>
            <w:r w:rsidR="00D64049">
              <w:rPr>
                <w:webHidden/>
              </w:rPr>
              <w:fldChar w:fldCharType="begin"/>
            </w:r>
            <w:r w:rsidR="00D64049">
              <w:rPr>
                <w:webHidden/>
              </w:rPr>
              <w:instrText xml:space="preserve"> PAGEREF _Toc528934952 \h </w:instrText>
            </w:r>
            <w:r w:rsidR="00D64049">
              <w:rPr>
                <w:webHidden/>
              </w:rPr>
            </w:r>
            <w:r w:rsidR="00D64049">
              <w:rPr>
                <w:webHidden/>
              </w:rPr>
              <w:fldChar w:fldCharType="separate"/>
            </w:r>
            <w:r w:rsidR="00D64049">
              <w:rPr>
                <w:webHidden/>
              </w:rPr>
              <w:t>33</w:t>
            </w:r>
            <w:r w:rsidR="00D64049">
              <w:rPr>
                <w:webHidden/>
              </w:rPr>
              <w:fldChar w:fldCharType="end"/>
            </w:r>
          </w:hyperlink>
        </w:p>
        <w:p w:rsidR="00091E37" w:rsidRDefault="00715D5C" w:rsidP="00091E37">
          <w:pPr>
            <w:pStyle w:val="Verzeichnis3"/>
            <w:ind w:left="720"/>
            <w:rPr>
              <w:rFonts w:asciiTheme="minorHAnsi" w:eastAsiaTheme="minorEastAsia" w:hAnsiTheme="minorHAnsi" w:cstheme="minorBidi"/>
              <w:sz w:val="22"/>
              <w:szCs w:val="22"/>
              <w:lang w:val="en-US" w:eastAsia="en-US"/>
            </w:rPr>
          </w:pPr>
          <w:hyperlink w:anchor="_Toc528934953" w:history="1">
            <w:r w:rsidR="00D64049" w:rsidRPr="00AB1281">
              <w:rPr>
                <w:rStyle w:val="Hyperlink"/>
              </w:rPr>
              <w:t>5.8.5. Data security</w:t>
            </w:r>
            <w:r w:rsidR="00D64049">
              <w:rPr>
                <w:webHidden/>
              </w:rPr>
              <w:tab/>
            </w:r>
            <w:r w:rsidR="00D64049">
              <w:rPr>
                <w:webHidden/>
              </w:rPr>
              <w:fldChar w:fldCharType="begin"/>
            </w:r>
            <w:r w:rsidR="00D64049">
              <w:rPr>
                <w:webHidden/>
              </w:rPr>
              <w:instrText xml:space="preserve"> PAGEREF _Toc528934953 \h </w:instrText>
            </w:r>
            <w:r w:rsidR="00D64049">
              <w:rPr>
                <w:webHidden/>
              </w:rPr>
            </w:r>
            <w:r w:rsidR="00D64049">
              <w:rPr>
                <w:webHidden/>
              </w:rPr>
              <w:fldChar w:fldCharType="separate"/>
            </w:r>
            <w:r w:rsidR="00D64049">
              <w:rPr>
                <w:webHidden/>
              </w:rPr>
              <w:t>34</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54" w:history="1">
            <w:r w:rsidR="00D64049" w:rsidRPr="00AB1281">
              <w:rPr>
                <w:rStyle w:val="Hyperlink"/>
              </w:rPr>
              <w:t>6. Registry studies</w:t>
            </w:r>
            <w:r w:rsidR="00D64049">
              <w:rPr>
                <w:webHidden/>
              </w:rPr>
              <w:tab/>
            </w:r>
            <w:r w:rsidR="00D64049">
              <w:rPr>
                <w:webHidden/>
              </w:rPr>
              <w:fldChar w:fldCharType="begin"/>
            </w:r>
            <w:r w:rsidR="00D64049">
              <w:rPr>
                <w:webHidden/>
              </w:rPr>
              <w:instrText xml:space="preserve"> PAGEREF _Toc528934954 \h </w:instrText>
            </w:r>
            <w:r w:rsidR="00D64049">
              <w:rPr>
                <w:webHidden/>
              </w:rPr>
            </w:r>
            <w:r w:rsidR="00D64049">
              <w:rPr>
                <w:webHidden/>
              </w:rPr>
              <w:fldChar w:fldCharType="separate"/>
            </w:r>
            <w:r w:rsidR="00D64049">
              <w:rPr>
                <w:webHidden/>
              </w:rPr>
              <w:t>35</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55" w:history="1">
            <w:r w:rsidR="00D64049" w:rsidRPr="00AB1281">
              <w:rPr>
                <w:rStyle w:val="Hyperlink"/>
              </w:rPr>
              <w:t>6.1. Regulatory context</w:t>
            </w:r>
            <w:r w:rsidR="00D64049">
              <w:rPr>
                <w:webHidden/>
              </w:rPr>
              <w:tab/>
            </w:r>
            <w:r w:rsidR="00D64049">
              <w:rPr>
                <w:webHidden/>
              </w:rPr>
              <w:fldChar w:fldCharType="begin"/>
            </w:r>
            <w:r w:rsidR="00D64049">
              <w:rPr>
                <w:webHidden/>
              </w:rPr>
              <w:instrText xml:space="preserve"> PAGEREF _Toc528934955 \h </w:instrText>
            </w:r>
            <w:r w:rsidR="00D64049">
              <w:rPr>
                <w:webHidden/>
              </w:rPr>
            </w:r>
            <w:r w:rsidR="00D64049">
              <w:rPr>
                <w:webHidden/>
              </w:rPr>
              <w:fldChar w:fldCharType="separate"/>
            </w:r>
            <w:r w:rsidR="00D64049">
              <w:rPr>
                <w:webHidden/>
              </w:rPr>
              <w:t>35</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56" w:history="1">
            <w:r w:rsidR="00D64049" w:rsidRPr="00AB1281">
              <w:rPr>
                <w:rStyle w:val="Hyperlink"/>
              </w:rPr>
              <w:t>6.2. Timelines</w:t>
            </w:r>
            <w:r w:rsidR="00D64049">
              <w:rPr>
                <w:webHidden/>
              </w:rPr>
              <w:tab/>
            </w:r>
            <w:r w:rsidR="00D64049">
              <w:rPr>
                <w:webHidden/>
              </w:rPr>
              <w:fldChar w:fldCharType="begin"/>
            </w:r>
            <w:r w:rsidR="00D64049">
              <w:rPr>
                <w:webHidden/>
              </w:rPr>
              <w:instrText xml:space="preserve"> PAGEREF _Toc528934956 \h </w:instrText>
            </w:r>
            <w:r w:rsidR="00D64049">
              <w:rPr>
                <w:webHidden/>
              </w:rPr>
            </w:r>
            <w:r w:rsidR="00D64049">
              <w:rPr>
                <w:webHidden/>
              </w:rPr>
              <w:fldChar w:fldCharType="separate"/>
            </w:r>
            <w:r w:rsidR="00D64049">
              <w:rPr>
                <w:webHidden/>
              </w:rPr>
              <w:t>36</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57" w:history="1">
            <w:r w:rsidR="00D64049" w:rsidRPr="00AB1281">
              <w:rPr>
                <w:rStyle w:val="Hyperlink"/>
              </w:rPr>
              <w:t>6.3. Study protocol</w:t>
            </w:r>
            <w:r w:rsidR="00D64049">
              <w:rPr>
                <w:webHidden/>
              </w:rPr>
              <w:tab/>
            </w:r>
            <w:r w:rsidR="00D64049">
              <w:rPr>
                <w:webHidden/>
              </w:rPr>
              <w:fldChar w:fldCharType="begin"/>
            </w:r>
            <w:r w:rsidR="00D64049">
              <w:rPr>
                <w:webHidden/>
              </w:rPr>
              <w:instrText xml:space="preserve"> PAGEREF _Toc528934957 \h </w:instrText>
            </w:r>
            <w:r w:rsidR="00D64049">
              <w:rPr>
                <w:webHidden/>
              </w:rPr>
            </w:r>
            <w:r w:rsidR="00D64049">
              <w:rPr>
                <w:webHidden/>
              </w:rPr>
              <w:fldChar w:fldCharType="separate"/>
            </w:r>
            <w:r w:rsidR="00D64049">
              <w:rPr>
                <w:webHidden/>
              </w:rPr>
              <w:t>36</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58" w:history="1">
            <w:r w:rsidR="00D64049" w:rsidRPr="00AB1281">
              <w:rPr>
                <w:rStyle w:val="Hyperlink"/>
              </w:rPr>
              <w:t>6.4. Study population</w:t>
            </w:r>
            <w:r w:rsidR="00D64049">
              <w:rPr>
                <w:webHidden/>
              </w:rPr>
              <w:tab/>
            </w:r>
            <w:r w:rsidR="00D64049">
              <w:rPr>
                <w:webHidden/>
              </w:rPr>
              <w:fldChar w:fldCharType="begin"/>
            </w:r>
            <w:r w:rsidR="00D64049">
              <w:rPr>
                <w:webHidden/>
              </w:rPr>
              <w:instrText xml:space="preserve"> PAGEREF _Toc528934958 \h </w:instrText>
            </w:r>
            <w:r w:rsidR="00D64049">
              <w:rPr>
                <w:webHidden/>
              </w:rPr>
            </w:r>
            <w:r w:rsidR="00D64049">
              <w:rPr>
                <w:webHidden/>
              </w:rPr>
              <w:fldChar w:fldCharType="separate"/>
            </w:r>
            <w:r w:rsidR="00D64049">
              <w:rPr>
                <w:webHidden/>
              </w:rPr>
              <w:t>37</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59" w:history="1">
            <w:r w:rsidR="00D64049" w:rsidRPr="00AB1281">
              <w:rPr>
                <w:rStyle w:val="Hyperlink"/>
              </w:rPr>
              <w:t>6.5. Data collection</w:t>
            </w:r>
            <w:r w:rsidR="00D64049">
              <w:rPr>
                <w:webHidden/>
              </w:rPr>
              <w:tab/>
            </w:r>
            <w:r w:rsidR="00D64049">
              <w:rPr>
                <w:webHidden/>
              </w:rPr>
              <w:fldChar w:fldCharType="begin"/>
            </w:r>
            <w:r w:rsidR="00D64049">
              <w:rPr>
                <w:webHidden/>
              </w:rPr>
              <w:instrText xml:space="preserve"> PAGEREF _Toc528934959 \h </w:instrText>
            </w:r>
            <w:r w:rsidR="00D64049">
              <w:rPr>
                <w:webHidden/>
              </w:rPr>
            </w:r>
            <w:r w:rsidR="00D64049">
              <w:rPr>
                <w:webHidden/>
              </w:rPr>
              <w:fldChar w:fldCharType="separate"/>
            </w:r>
            <w:r w:rsidR="00D64049">
              <w:rPr>
                <w:webHidden/>
              </w:rPr>
              <w:t>37</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60" w:history="1">
            <w:r w:rsidR="00D64049" w:rsidRPr="00AB1281">
              <w:rPr>
                <w:rStyle w:val="Hyperlink"/>
              </w:rPr>
              <w:t>6.6. Data quality</w:t>
            </w:r>
            <w:r w:rsidR="00D64049">
              <w:rPr>
                <w:webHidden/>
              </w:rPr>
              <w:tab/>
            </w:r>
            <w:r w:rsidR="00D64049">
              <w:rPr>
                <w:webHidden/>
              </w:rPr>
              <w:fldChar w:fldCharType="begin"/>
            </w:r>
            <w:r w:rsidR="00D64049">
              <w:rPr>
                <w:webHidden/>
              </w:rPr>
              <w:instrText xml:space="preserve"> PAGEREF _Toc528934960 \h </w:instrText>
            </w:r>
            <w:r w:rsidR="00D64049">
              <w:rPr>
                <w:webHidden/>
              </w:rPr>
            </w:r>
            <w:r w:rsidR="00D64049">
              <w:rPr>
                <w:webHidden/>
              </w:rPr>
              <w:fldChar w:fldCharType="separate"/>
            </w:r>
            <w:r w:rsidR="00D64049">
              <w:rPr>
                <w:webHidden/>
              </w:rPr>
              <w:t>38</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61" w:history="1">
            <w:r w:rsidR="00D64049" w:rsidRPr="00AB1281">
              <w:rPr>
                <w:rStyle w:val="Hyperlink"/>
              </w:rPr>
              <w:t>6.7. Data analysis</w:t>
            </w:r>
            <w:r w:rsidR="00D64049">
              <w:rPr>
                <w:webHidden/>
              </w:rPr>
              <w:tab/>
            </w:r>
            <w:r w:rsidR="00D64049">
              <w:rPr>
                <w:webHidden/>
              </w:rPr>
              <w:fldChar w:fldCharType="begin"/>
            </w:r>
            <w:r w:rsidR="00D64049">
              <w:rPr>
                <w:webHidden/>
              </w:rPr>
              <w:instrText xml:space="preserve"> PAGEREF _Toc528934961 \h </w:instrText>
            </w:r>
            <w:r w:rsidR="00D64049">
              <w:rPr>
                <w:webHidden/>
              </w:rPr>
            </w:r>
            <w:r w:rsidR="00D64049">
              <w:rPr>
                <w:webHidden/>
              </w:rPr>
              <w:fldChar w:fldCharType="separate"/>
            </w:r>
            <w:r w:rsidR="00D64049">
              <w:rPr>
                <w:webHidden/>
              </w:rPr>
              <w:t>39</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62" w:history="1">
            <w:r w:rsidR="00D64049" w:rsidRPr="00AB1281">
              <w:rPr>
                <w:rStyle w:val="Hyperlink"/>
              </w:rPr>
              <w:t>6.8. Safety reporting</w:t>
            </w:r>
            <w:r w:rsidR="00D64049">
              <w:rPr>
                <w:webHidden/>
              </w:rPr>
              <w:tab/>
            </w:r>
            <w:r w:rsidR="00D64049">
              <w:rPr>
                <w:webHidden/>
              </w:rPr>
              <w:fldChar w:fldCharType="begin"/>
            </w:r>
            <w:r w:rsidR="00D64049">
              <w:rPr>
                <w:webHidden/>
              </w:rPr>
              <w:instrText xml:space="preserve"> PAGEREF _Toc528934962 \h </w:instrText>
            </w:r>
            <w:r w:rsidR="00D64049">
              <w:rPr>
                <w:webHidden/>
              </w:rPr>
            </w:r>
            <w:r w:rsidR="00D64049">
              <w:rPr>
                <w:webHidden/>
              </w:rPr>
              <w:fldChar w:fldCharType="separate"/>
            </w:r>
            <w:r w:rsidR="00D64049">
              <w:rPr>
                <w:webHidden/>
              </w:rPr>
              <w:t>40</w:t>
            </w:r>
            <w:r w:rsidR="00D64049">
              <w:rPr>
                <w:webHidden/>
              </w:rPr>
              <w:fldChar w:fldCharType="end"/>
            </w:r>
          </w:hyperlink>
        </w:p>
        <w:p w:rsidR="00091E37" w:rsidRDefault="00715D5C">
          <w:pPr>
            <w:pStyle w:val="Verzeichnis2"/>
            <w:rPr>
              <w:rFonts w:asciiTheme="minorHAnsi" w:eastAsiaTheme="minorEastAsia" w:hAnsiTheme="minorHAnsi" w:cstheme="minorBidi"/>
              <w:sz w:val="22"/>
              <w:szCs w:val="22"/>
              <w:lang w:val="en-US" w:eastAsia="en-US"/>
            </w:rPr>
          </w:pPr>
          <w:hyperlink w:anchor="_Toc528934963" w:history="1">
            <w:r w:rsidR="00D64049" w:rsidRPr="00AB1281">
              <w:rPr>
                <w:rStyle w:val="Hyperlink"/>
              </w:rPr>
              <w:t>6.9. Reporting of study results</w:t>
            </w:r>
            <w:r w:rsidR="00D64049">
              <w:rPr>
                <w:webHidden/>
              </w:rPr>
              <w:tab/>
            </w:r>
            <w:r w:rsidR="00D64049">
              <w:rPr>
                <w:webHidden/>
              </w:rPr>
              <w:fldChar w:fldCharType="begin"/>
            </w:r>
            <w:r w:rsidR="00D64049">
              <w:rPr>
                <w:webHidden/>
              </w:rPr>
              <w:instrText xml:space="preserve"> PAGEREF _Toc528934963 \h </w:instrText>
            </w:r>
            <w:r w:rsidR="00D64049">
              <w:rPr>
                <w:webHidden/>
              </w:rPr>
            </w:r>
            <w:r w:rsidR="00D64049">
              <w:rPr>
                <w:webHidden/>
              </w:rPr>
              <w:fldChar w:fldCharType="separate"/>
            </w:r>
            <w:r w:rsidR="00D64049">
              <w:rPr>
                <w:webHidden/>
              </w:rPr>
              <w:t>42</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64" w:history="1">
            <w:r w:rsidR="00D64049" w:rsidRPr="00AB1281">
              <w:rPr>
                <w:rStyle w:val="Hyperlink"/>
              </w:rPr>
              <w:t>7. Conclusions</w:t>
            </w:r>
            <w:r w:rsidR="00D64049">
              <w:rPr>
                <w:webHidden/>
              </w:rPr>
              <w:tab/>
            </w:r>
            <w:r w:rsidR="00D64049">
              <w:rPr>
                <w:webHidden/>
              </w:rPr>
              <w:fldChar w:fldCharType="begin"/>
            </w:r>
            <w:r w:rsidR="00D64049">
              <w:rPr>
                <w:webHidden/>
              </w:rPr>
              <w:instrText xml:space="preserve"> PAGEREF _Toc528934964 \h </w:instrText>
            </w:r>
            <w:r w:rsidR="00D64049">
              <w:rPr>
                <w:webHidden/>
              </w:rPr>
            </w:r>
            <w:r w:rsidR="00D64049">
              <w:rPr>
                <w:webHidden/>
              </w:rPr>
              <w:fldChar w:fldCharType="separate"/>
            </w:r>
            <w:r w:rsidR="00D64049">
              <w:rPr>
                <w:webHidden/>
              </w:rPr>
              <w:t>43</w:t>
            </w:r>
            <w:r w:rsidR="00D64049">
              <w:rPr>
                <w:webHidden/>
              </w:rPr>
              <w:fldChar w:fldCharType="end"/>
            </w:r>
          </w:hyperlink>
        </w:p>
        <w:p w:rsidR="00091E37" w:rsidRDefault="00715D5C">
          <w:pPr>
            <w:pStyle w:val="Verzeichnis1"/>
            <w:rPr>
              <w:rFonts w:asciiTheme="minorHAnsi" w:eastAsiaTheme="minorEastAsia" w:hAnsiTheme="minorHAnsi" w:cstheme="minorBidi"/>
              <w:b w:val="0"/>
              <w:lang w:val="en-US" w:eastAsia="en-US"/>
            </w:rPr>
          </w:pPr>
          <w:hyperlink w:anchor="_Toc528934965" w:history="1">
            <w:r w:rsidR="00D64049" w:rsidRPr="00AB1281">
              <w:rPr>
                <w:rStyle w:val="Hyperlink"/>
              </w:rPr>
              <w:t>8. References</w:t>
            </w:r>
            <w:r w:rsidR="00D64049">
              <w:rPr>
                <w:webHidden/>
              </w:rPr>
              <w:tab/>
            </w:r>
            <w:r w:rsidR="00D64049">
              <w:rPr>
                <w:webHidden/>
              </w:rPr>
              <w:fldChar w:fldCharType="begin"/>
            </w:r>
            <w:r w:rsidR="00D64049">
              <w:rPr>
                <w:webHidden/>
              </w:rPr>
              <w:instrText xml:space="preserve"> PAGEREF _Toc528934965 \h </w:instrText>
            </w:r>
            <w:r w:rsidR="00D64049">
              <w:rPr>
                <w:webHidden/>
              </w:rPr>
            </w:r>
            <w:r w:rsidR="00D64049">
              <w:rPr>
                <w:webHidden/>
              </w:rPr>
              <w:fldChar w:fldCharType="separate"/>
            </w:r>
            <w:r w:rsidR="00D64049">
              <w:rPr>
                <w:webHidden/>
              </w:rPr>
              <w:t>44</w:t>
            </w:r>
            <w:r w:rsidR="00D64049">
              <w:rPr>
                <w:webHidden/>
              </w:rPr>
              <w:fldChar w:fldCharType="end"/>
            </w:r>
          </w:hyperlink>
        </w:p>
        <w:p w:rsidR="00C84D07" w:rsidRDefault="00D64049" w:rsidP="00AD4CBC">
          <w:r w:rsidRPr="0029175B">
            <w:rPr>
              <w:rFonts w:eastAsia="Verdana"/>
              <w:b/>
              <w:sz w:val="22"/>
              <w:szCs w:val="22"/>
            </w:rPr>
            <w:fldChar w:fldCharType="end"/>
          </w:r>
        </w:p>
      </w:sdtContent>
    </w:sdt>
    <w:p w:rsidR="00AD4CBC" w:rsidRPr="0029175B" w:rsidRDefault="00D64049" w:rsidP="00AD4CBC">
      <w:r w:rsidRPr="0029175B">
        <w:br w:type="page"/>
      </w:r>
    </w:p>
    <w:p w:rsidR="00154DE3" w:rsidRPr="00154DE3" w:rsidRDefault="00D64049" w:rsidP="006E7959">
      <w:pPr>
        <w:pStyle w:val="No-numheading1Agency"/>
      </w:pPr>
      <w:bookmarkStart w:id="2" w:name="_Toc528934916"/>
      <w:r w:rsidRPr="00154DE3">
        <w:lastRenderedPageBreak/>
        <w:t>Abbreviations</w:t>
      </w:r>
      <w:bookmarkEnd w:id="2"/>
    </w:p>
    <w:p w:rsidR="00154DE3" w:rsidRPr="00154DE3" w:rsidRDefault="00D64049" w:rsidP="006E7959">
      <w:pPr>
        <w:pStyle w:val="BodytextAgency"/>
        <w:spacing w:after="0" w:line="360" w:lineRule="auto"/>
      </w:pPr>
      <w:r w:rsidRPr="00154DE3">
        <w:t>ADVANCE: Accelerated Development of VAccine benefit-risk Collaboration in Europe</w:t>
      </w:r>
    </w:p>
    <w:p w:rsidR="00154DE3" w:rsidRPr="00154DE3" w:rsidRDefault="00D64049" w:rsidP="006E7959">
      <w:pPr>
        <w:pStyle w:val="BodytextAgency"/>
        <w:spacing w:after="0" w:line="360" w:lineRule="auto"/>
      </w:pPr>
      <w:r w:rsidRPr="00154DE3">
        <w:t>AESI: Adverse Event of Special Interest</w:t>
      </w:r>
    </w:p>
    <w:p w:rsidR="00154DE3" w:rsidRPr="00154DE3" w:rsidRDefault="00D64049" w:rsidP="006E7959">
      <w:pPr>
        <w:pStyle w:val="BodytextAgency"/>
        <w:spacing w:after="0" w:line="360" w:lineRule="auto"/>
      </w:pPr>
      <w:r w:rsidRPr="00154DE3">
        <w:t>AHRQ: US Agency for Heathcare Research and Quality</w:t>
      </w:r>
    </w:p>
    <w:p w:rsidR="00154DE3" w:rsidRPr="00154DE3" w:rsidRDefault="00D64049" w:rsidP="006E7959">
      <w:pPr>
        <w:pStyle w:val="BodytextAgency"/>
        <w:spacing w:after="0" w:line="360" w:lineRule="auto"/>
      </w:pPr>
      <w:r w:rsidRPr="00154DE3">
        <w:t>CAR-T cell: Chimeric Antigen Receptor T cell</w:t>
      </w:r>
    </w:p>
    <w:p w:rsidR="00154DE3" w:rsidRPr="00154DE3" w:rsidRDefault="00D64049" w:rsidP="006E7959">
      <w:pPr>
        <w:pStyle w:val="BodytextAgency"/>
        <w:spacing w:after="0" w:line="360" w:lineRule="auto"/>
      </w:pPr>
      <w:r w:rsidRPr="00154DE3">
        <w:t>CHMP: Committee for Medicinal Products for Human Use</w:t>
      </w:r>
    </w:p>
    <w:p w:rsidR="00154DE3" w:rsidRPr="00154DE3" w:rsidRDefault="00D64049" w:rsidP="006E7959">
      <w:pPr>
        <w:pStyle w:val="BodytextAgency"/>
        <w:spacing w:after="0" w:line="360" w:lineRule="auto"/>
      </w:pPr>
      <w:r w:rsidRPr="00154DE3">
        <w:t xml:space="preserve">CIBMTR: Center for International Blood and Marrow Transplant Research </w:t>
      </w:r>
    </w:p>
    <w:p w:rsidR="00154DE3" w:rsidRPr="00154DE3" w:rsidRDefault="00D64049" w:rsidP="006E7959">
      <w:pPr>
        <w:pStyle w:val="BodytextAgency"/>
        <w:spacing w:after="0" w:line="360" w:lineRule="auto"/>
      </w:pPr>
      <w:r w:rsidRPr="00154DE3">
        <w:t>EBMT: European Bone Marrow Transplantation</w:t>
      </w:r>
    </w:p>
    <w:p w:rsidR="00154DE3" w:rsidRPr="00154DE3" w:rsidRDefault="00D64049" w:rsidP="006E7959">
      <w:pPr>
        <w:pStyle w:val="BodytextAgency"/>
        <w:spacing w:after="0" w:line="360" w:lineRule="auto"/>
      </w:pPr>
      <w:r w:rsidRPr="00154DE3">
        <w:t xml:space="preserve">ECFSPR: European Cystic Fibrosis Society Patient Registry </w:t>
      </w:r>
    </w:p>
    <w:p w:rsidR="00154DE3" w:rsidRPr="00154DE3" w:rsidRDefault="00D64049" w:rsidP="006E7959">
      <w:pPr>
        <w:pStyle w:val="BodytextAgency"/>
        <w:spacing w:after="0" w:line="360" w:lineRule="auto"/>
      </w:pPr>
      <w:r w:rsidRPr="00154DE3">
        <w:t>EEA: European Economic Area</w:t>
      </w:r>
    </w:p>
    <w:p w:rsidR="00154DE3" w:rsidRPr="00154DE3" w:rsidRDefault="00D64049" w:rsidP="006E7959">
      <w:pPr>
        <w:pStyle w:val="BodytextAgency"/>
        <w:spacing w:after="0" w:line="360" w:lineRule="auto"/>
      </w:pPr>
      <w:r w:rsidRPr="00154DE3">
        <w:t>EMA: European Medicines Agency</w:t>
      </w:r>
    </w:p>
    <w:p w:rsidR="00154DE3" w:rsidRPr="00154DE3" w:rsidRDefault="00D64049" w:rsidP="006E7959">
      <w:pPr>
        <w:pStyle w:val="BodytextAgency"/>
        <w:spacing w:after="0" w:line="360" w:lineRule="auto"/>
      </w:pPr>
      <w:r w:rsidRPr="00154DE3">
        <w:t>ENCePP: European Network of Centres for Pharmacoepidemiology and Pharmacovigilance</w:t>
      </w:r>
    </w:p>
    <w:p w:rsidR="00154DE3" w:rsidRPr="00154DE3" w:rsidRDefault="00D64049" w:rsidP="006E7959">
      <w:pPr>
        <w:pStyle w:val="BodytextAgency"/>
        <w:spacing w:after="0" w:line="360" w:lineRule="auto"/>
      </w:pPr>
      <w:r w:rsidRPr="00154DE3">
        <w:t>EU: European Union</w:t>
      </w:r>
    </w:p>
    <w:p w:rsidR="00154DE3" w:rsidRPr="00154DE3" w:rsidRDefault="00D64049" w:rsidP="006E7959">
      <w:pPr>
        <w:pStyle w:val="BodytextAgency"/>
        <w:spacing w:after="0" w:line="360" w:lineRule="auto"/>
      </w:pPr>
      <w:r w:rsidRPr="00154DE3">
        <w:t>GDPR: General Data Protection Regulation</w:t>
      </w:r>
    </w:p>
    <w:p w:rsidR="00154DE3" w:rsidRPr="00154DE3" w:rsidRDefault="00D64049" w:rsidP="006E7959">
      <w:pPr>
        <w:pStyle w:val="BodytextAgency"/>
        <w:spacing w:after="0" w:line="360" w:lineRule="auto"/>
      </w:pPr>
      <w:r w:rsidRPr="00154DE3">
        <w:t>GVP: Good pharmacovigilance practice</w:t>
      </w:r>
    </w:p>
    <w:p w:rsidR="00154DE3" w:rsidRPr="00154DE3" w:rsidRDefault="00D64049" w:rsidP="006E7959">
      <w:pPr>
        <w:pStyle w:val="BodytextAgency"/>
        <w:spacing w:after="0" w:line="360" w:lineRule="auto"/>
      </w:pPr>
      <w:r w:rsidRPr="00154DE3">
        <w:t>HCP: health care professional</w:t>
      </w:r>
    </w:p>
    <w:p w:rsidR="00154DE3" w:rsidRPr="00154DE3" w:rsidRDefault="00D64049" w:rsidP="006E7959">
      <w:pPr>
        <w:pStyle w:val="BodytextAgency"/>
        <w:spacing w:after="0" w:line="360" w:lineRule="auto"/>
      </w:pPr>
      <w:r w:rsidRPr="00154DE3">
        <w:t>HTA: Health Technology Assessment</w:t>
      </w:r>
    </w:p>
    <w:p w:rsidR="00154DE3" w:rsidRPr="00154DE3" w:rsidRDefault="00D64049" w:rsidP="006E7959">
      <w:pPr>
        <w:pStyle w:val="BodytextAgency"/>
        <w:spacing w:after="0" w:line="360" w:lineRule="auto"/>
      </w:pPr>
      <w:r w:rsidRPr="00154DE3">
        <w:t>ICH: International Council for Harmonisation</w:t>
      </w:r>
    </w:p>
    <w:p w:rsidR="00154DE3" w:rsidRPr="00154DE3" w:rsidRDefault="00D64049" w:rsidP="006E7959">
      <w:pPr>
        <w:pStyle w:val="BodytextAgency"/>
        <w:spacing w:after="0" w:line="360" w:lineRule="auto"/>
      </w:pPr>
      <w:r w:rsidRPr="00154DE3">
        <w:t>ICSR: Individual Case Safety Report</w:t>
      </w:r>
    </w:p>
    <w:p w:rsidR="00154DE3" w:rsidRPr="00154DE3" w:rsidRDefault="00D64049" w:rsidP="006E7959">
      <w:pPr>
        <w:pStyle w:val="BodytextAgency"/>
        <w:spacing w:after="0" w:line="360" w:lineRule="auto"/>
      </w:pPr>
      <w:r w:rsidRPr="00154DE3">
        <w:t>MAA: Marketing Authorisation Applicant</w:t>
      </w:r>
    </w:p>
    <w:p w:rsidR="00154DE3" w:rsidRPr="00154DE3" w:rsidRDefault="00D64049" w:rsidP="006E7959">
      <w:pPr>
        <w:pStyle w:val="BodytextAgency"/>
        <w:spacing w:after="0" w:line="360" w:lineRule="auto"/>
      </w:pPr>
      <w:r w:rsidRPr="00154DE3">
        <w:t>MAH: Marketing Authorisation Holder</w:t>
      </w:r>
    </w:p>
    <w:p w:rsidR="00154DE3" w:rsidRPr="00154DE3" w:rsidRDefault="00D64049" w:rsidP="006E7959">
      <w:pPr>
        <w:pStyle w:val="BodytextAgency"/>
        <w:spacing w:after="0" w:line="360" w:lineRule="auto"/>
      </w:pPr>
      <w:r w:rsidRPr="00154DE3">
        <w:t>MedDRA: Medical Dictionary for Regulatory Activities</w:t>
      </w:r>
    </w:p>
    <w:p w:rsidR="00154DE3" w:rsidRPr="00154DE3" w:rsidRDefault="00D64049" w:rsidP="006E7959">
      <w:pPr>
        <w:pStyle w:val="BodytextAgency"/>
        <w:spacing w:after="0" w:line="360" w:lineRule="auto"/>
      </w:pPr>
      <w:r w:rsidRPr="00154DE3">
        <w:t>NCA: national competent authority</w:t>
      </w:r>
    </w:p>
    <w:p w:rsidR="00154DE3" w:rsidRPr="00154DE3" w:rsidRDefault="00D64049" w:rsidP="006E7959">
      <w:pPr>
        <w:pStyle w:val="BodytextAgency"/>
        <w:spacing w:after="0" w:line="360" w:lineRule="auto"/>
      </w:pPr>
      <w:r w:rsidRPr="00154DE3">
        <w:t>PAES: Post-Authorisation Efficacy Study</w:t>
      </w:r>
    </w:p>
    <w:p w:rsidR="00154DE3" w:rsidRPr="00154DE3" w:rsidRDefault="00D64049" w:rsidP="006E7959">
      <w:pPr>
        <w:pStyle w:val="BodytextAgency"/>
        <w:spacing w:after="0" w:line="360" w:lineRule="auto"/>
      </w:pPr>
      <w:r w:rsidRPr="00154DE3">
        <w:t>PARENT JA: PAtient REgistries iNiTiative Joint Action</w:t>
      </w:r>
    </w:p>
    <w:p w:rsidR="00154DE3" w:rsidRPr="00154DE3" w:rsidRDefault="00D64049" w:rsidP="006E7959">
      <w:pPr>
        <w:pStyle w:val="BodytextAgency"/>
        <w:spacing w:after="0" w:line="360" w:lineRule="auto"/>
      </w:pPr>
      <w:r w:rsidRPr="00154DE3">
        <w:t>PAS: Post-Authorisation Study</w:t>
      </w:r>
    </w:p>
    <w:p w:rsidR="00154DE3" w:rsidRPr="00154DE3" w:rsidRDefault="00D64049" w:rsidP="006E7959">
      <w:pPr>
        <w:pStyle w:val="BodytextAgency"/>
        <w:spacing w:after="0" w:line="360" w:lineRule="auto"/>
      </w:pPr>
      <w:r w:rsidRPr="00154DE3">
        <w:t>PASS: Post-Authorisation Safety Study</w:t>
      </w:r>
    </w:p>
    <w:p w:rsidR="00154DE3" w:rsidRPr="00154DE3" w:rsidRDefault="00D64049" w:rsidP="006E7959">
      <w:pPr>
        <w:pStyle w:val="BodytextAgency"/>
        <w:spacing w:after="0" w:line="360" w:lineRule="auto"/>
      </w:pPr>
      <w:r w:rsidRPr="00154DE3">
        <w:t>PRAC: Pharmacovigilance Risk Assessment Committee</w:t>
      </w:r>
    </w:p>
    <w:p w:rsidR="00154DE3" w:rsidRPr="00154DE3" w:rsidRDefault="00D64049" w:rsidP="006E7959">
      <w:pPr>
        <w:pStyle w:val="BodytextAgency"/>
        <w:spacing w:after="0" w:line="360" w:lineRule="auto"/>
      </w:pPr>
      <w:r w:rsidRPr="00154DE3">
        <w:t>PRO: Patient-Related Outcome</w:t>
      </w:r>
    </w:p>
    <w:p w:rsidR="00154DE3" w:rsidRPr="00154DE3" w:rsidRDefault="00D64049" w:rsidP="006E7959">
      <w:pPr>
        <w:pStyle w:val="BodytextAgency"/>
        <w:spacing w:after="0" w:line="360" w:lineRule="auto"/>
      </w:pPr>
      <w:r w:rsidRPr="00154DE3">
        <w:t>PSUR: Periodic Safety Update Report</w:t>
      </w:r>
    </w:p>
    <w:p w:rsidR="00154DE3" w:rsidRPr="00154DE3" w:rsidRDefault="00D64049" w:rsidP="006E7959">
      <w:pPr>
        <w:pStyle w:val="BodytextAgency"/>
        <w:spacing w:after="0" w:line="360" w:lineRule="auto"/>
      </w:pPr>
      <w:r w:rsidRPr="00154DE3">
        <w:t>RCT: Randomised Clinical Trial</w:t>
      </w:r>
    </w:p>
    <w:p w:rsidR="00154DE3" w:rsidRPr="00154DE3" w:rsidRDefault="00D64049" w:rsidP="006E7959">
      <w:pPr>
        <w:pStyle w:val="BodytextAgency"/>
        <w:spacing w:after="0" w:line="360" w:lineRule="auto"/>
      </w:pPr>
      <w:r w:rsidRPr="00154DE3">
        <w:t>RMP: Risk Management Plan</w:t>
      </w:r>
    </w:p>
    <w:p w:rsidR="00154DE3" w:rsidRPr="00B460FE" w:rsidRDefault="00D64049" w:rsidP="00B460FE">
      <w:pPr>
        <w:pStyle w:val="BodytextAgency"/>
        <w:spacing w:after="0" w:line="360" w:lineRule="auto"/>
      </w:pPr>
      <w:r w:rsidRPr="00154DE3">
        <w:t>SAP: Statistical Analy</w:t>
      </w:r>
      <w:r w:rsidR="00AE5A4A">
        <w:t>sis</w:t>
      </w:r>
      <w:r w:rsidRPr="00154DE3">
        <w:t xml:space="preserve"> Plan</w:t>
      </w:r>
      <w:r>
        <w:br w:type="page"/>
      </w:r>
    </w:p>
    <w:p w:rsidR="00D02B2A" w:rsidRPr="0029175B" w:rsidRDefault="00D64049" w:rsidP="00D02B2A">
      <w:pPr>
        <w:pStyle w:val="No-numheading1Agency"/>
      </w:pPr>
      <w:bookmarkStart w:id="3" w:name="_Toc528934917"/>
      <w:r w:rsidRPr="0029175B">
        <w:lastRenderedPageBreak/>
        <w:t>Executive summary</w:t>
      </w:r>
      <w:bookmarkEnd w:id="3"/>
    </w:p>
    <w:p w:rsidR="004238DD" w:rsidRDefault="00D64049" w:rsidP="004238DD">
      <w:pPr>
        <w:spacing w:after="140" w:line="280" w:lineRule="exact"/>
      </w:pPr>
      <w:r w:rsidRPr="00065231">
        <w:t>The objective of t</w:t>
      </w:r>
      <w:r>
        <w:t>his</w:t>
      </w:r>
      <w:r w:rsidRPr="00065231">
        <w:t xml:space="preserve"> paper is to </w:t>
      </w:r>
      <w:r w:rsidR="00B1747F">
        <w:t xml:space="preserve">discuss </w:t>
      </w:r>
      <w:r w:rsidRPr="00065231">
        <w:t xml:space="preserve">methodological </w:t>
      </w:r>
      <w:r w:rsidR="00B1747F">
        <w:t>and operational aspects of patient</w:t>
      </w:r>
      <w:r w:rsidRPr="00065231">
        <w:t xml:space="preserve"> </w:t>
      </w:r>
      <w:r w:rsidR="00AE1162">
        <w:t>disease</w:t>
      </w:r>
      <w:r w:rsidR="00AE1162" w:rsidRPr="00065231">
        <w:t xml:space="preserve"> </w:t>
      </w:r>
      <w:r w:rsidRPr="00065231">
        <w:t xml:space="preserve">registries. It focuses on important principles from a regulatory perspective and makes proposals on what </w:t>
      </w:r>
      <w:r w:rsidR="00B1747F">
        <w:t>might be</w:t>
      </w:r>
      <w:r w:rsidR="00B1747F" w:rsidRPr="00065231">
        <w:t xml:space="preserve"> </w:t>
      </w:r>
      <w:r w:rsidRPr="00065231">
        <w:t xml:space="preserve">considered good registry practice to support collection of high quality registry data. This paper </w:t>
      </w:r>
      <w:r w:rsidR="00825341">
        <w:t xml:space="preserve">also </w:t>
      </w:r>
      <w:r w:rsidRPr="00065231">
        <w:t>discusses important methodological aspects of studies performed with registry data to increase regulators’ confidence in their results.</w:t>
      </w:r>
      <w:r>
        <w:t xml:space="preserve"> </w:t>
      </w:r>
    </w:p>
    <w:p w:rsidR="004238DD" w:rsidRDefault="00D64049" w:rsidP="004238DD">
      <w:pPr>
        <w:spacing w:after="140" w:line="280" w:lineRule="exact"/>
      </w:pPr>
      <w:r>
        <w:t xml:space="preserve">A </w:t>
      </w:r>
      <w:r w:rsidRPr="003E2FDC">
        <w:rPr>
          <w:i/>
        </w:rPr>
        <w:t>patient registry</w:t>
      </w:r>
      <w:r>
        <w:t xml:space="preserve"> is defined as an </w:t>
      </w:r>
      <w:r w:rsidRPr="00065231">
        <w:t>organised system that uses observational methods to collect uniform data on a patient population defined by a particular disease, exposure</w:t>
      </w:r>
      <w:r w:rsidR="00AB3ECA">
        <w:t xml:space="preserve"> or condition (e.g. age, pregnancy, specific patient characteristics)</w:t>
      </w:r>
      <w:r w:rsidRPr="00065231">
        <w:t xml:space="preserve">, and </w:t>
      </w:r>
      <w:r w:rsidR="00B1747F">
        <w:t>which</w:t>
      </w:r>
      <w:r w:rsidR="00B1747F" w:rsidRPr="00065231">
        <w:t xml:space="preserve"> </w:t>
      </w:r>
      <w:r w:rsidRPr="00065231">
        <w:t>is followed over time.</w:t>
      </w:r>
      <w:r>
        <w:t xml:space="preserve"> </w:t>
      </w:r>
      <w:r w:rsidR="008B7166">
        <w:t xml:space="preserve">Patient </w:t>
      </w:r>
      <w:r w:rsidR="008B7166" w:rsidRPr="008545AE">
        <w:rPr>
          <w:i/>
        </w:rPr>
        <w:t>d</w:t>
      </w:r>
      <w:r w:rsidRPr="008545AE">
        <w:rPr>
          <w:i/>
        </w:rPr>
        <w:t xml:space="preserve">isease </w:t>
      </w:r>
      <w:r w:rsidR="008B7166" w:rsidRPr="008545AE">
        <w:rPr>
          <w:rStyle w:val="Fett"/>
          <w:b w:val="0"/>
          <w:i/>
          <w:lang w:val="en"/>
        </w:rPr>
        <w:t>registries</w:t>
      </w:r>
      <w:r w:rsidRPr="00AD4CBC">
        <w:rPr>
          <w:rStyle w:val="Fett"/>
          <w:b w:val="0"/>
          <w:lang w:val="en"/>
        </w:rPr>
        <w:t xml:space="preserve"> may be </w:t>
      </w:r>
      <w:r w:rsidRPr="00AD4CBC">
        <w:t xml:space="preserve">established by </w:t>
      </w:r>
      <w:r w:rsidR="009D3789" w:rsidRPr="009D3789">
        <w:t>public organisations such as academia</w:t>
      </w:r>
      <w:r w:rsidR="00E77CC5">
        <w:t xml:space="preserve"> or</w:t>
      </w:r>
      <w:r w:rsidR="009D3789" w:rsidRPr="009D3789">
        <w:t xml:space="preserve"> medical research associations </w:t>
      </w:r>
      <w:r w:rsidR="007E352B">
        <w:t>o</w:t>
      </w:r>
      <w:r w:rsidR="00E77CC5">
        <w:t>f health care professionals or</w:t>
      </w:r>
      <w:r w:rsidR="007E352B">
        <w:t xml:space="preserve"> patient</w:t>
      </w:r>
      <w:r w:rsidR="00E77CC5">
        <w:t>s</w:t>
      </w:r>
      <w:r w:rsidR="00EB765F">
        <w:t>. The</w:t>
      </w:r>
      <w:r w:rsidR="003E2FDC">
        <w:t>y</w:t>
      </w:r>
      <w:r w:rsidR="00EB765F">
        <w:t xml:space="preserve"> may have</w:t>
      </w:r>
      <w:r w:rsidRPr="00AD4CBC">
        <w:t xml:space="preserve"> different </w:t>
      </w:r>
      <w:r w:rsidR="00EB765F">
        <w:t xml:space="preserve">overall </w:t>
      </w:r>
      <w:r w:rsidRPr="00AD4CBC">
        <w:t>objectives, such as to describe the natural history of a disorder, to monitor the efficacy or safety of treatments, to describe the impact of a disease on patients’ health and quality of life or to identify patients suitable for new treatments</w:t>
      </w:r>
      <w:r>
        <w:t xml:space="preserve">. </w:t>
      </w:r>
      <w:r w:rsidR="00EB765F">
        <w:t>T</w:t>
      </w:r>
      <w:r w:rsidR="00EB765F" w:rsidRPr="00AD4CBC">
        <w:t xml:space="preserve">he </w:t>
      </w:r>
      <w:r w:rsidRPr="00AD4CBC">
        <w:t xml:space="preserve">data collected may also be useful to support the regulatory evaluation of benefits and risks of medicines. </w:t>
      </w:r>
      <w:r w:rsidR="00FD09C0" w:rsidRPr="005F65B5">
        <w:t xml:space="preserve">Although </w:t>
      </w:r>
      <w:r w:rsidR="00FD09C0" w:rsidRPr="003E2FDC">
        <w:rPr>
          <w:i/>
        </w:rPr>
        <w:t>product registries</w:t>
      </w:r>
      <w:r w:rsidR="00FD09C0" w:rsidRPr="005F65B5">
        <w:t xml:space="preserve"> may have advantages in specific circumstances, e.g. to gather data in a subset of</w:t>
      </w:r>
      <w:r w:rsidR="00357369">
        <w:t xml:space="preserve"> treated</w:t>
      </w:r>
      <w:r w:rsidR="00FD09C0" w:rsidRPr="005F65B5">
        <w:t xml:space="preserve"> patients (such as geriatric patients) underrepresented in clinical trials, regulators </w:t>
      </w:r>
      <w:r w:rsidRPr="005F65B5">
        <w:t xml:space="preserve">generally prefer </w:t>
      </w:r>
      <w:r w:rsidRPr="008545AE">
        <w:rPr>
          <w:iCs/>
        </w:rPr>
        <w:t>disease registries</w:t>
      </w:r>
      <w:r w:rsidRPr="005F65B5">
        <w:rPr>
          <w:iCs/>
        </w:rPr>
        <w:t xml:space="preserve"> </w:t>
      </w:r>
      <w:r w:rsidR="00357369">
        <w:t>as they</w:t>
      </w:r>
      <w:r w:rsidRPr="005F65B5">
        <w:t xml:space="preserve"> gather insights on clinical outcomes in patients receiving different treatments and </w:t>
      </w:r>
      <w:r w:rsidR="008601CA">
        <w:rPr>
          <w:rFonts w:eastAsia="Times New Roman" w:cs="Arial"/>
        </w:rPr>
        <w:t>may support</w:t>
      </w:r>
      <w:r w:rsidR="005F65B5" w:rsidRPr="006E7959">
        <w:rPr>
          <w:rFonts w:eastAsia="Times New Roman" w:cs="Arial"/>
        </w:rPr>
        <w:t xml:space="preserve"> </w:t>
      </w:r>
      <w:r w:rsidR="003E2FDC">
        <w:rPr>
          <w:rFonts w:eastAsia="Times New Roman" w:cs="Arial"/>
        </w:rPr>
        <w:t>a wide</w:t>
      </w:r>
      <w:r w:rsidR="008601CA">
        <w:rPr>
          <w:rFonts w:eastAsia="Times New Roman" w:cs="Arial"/>
        </w:rPr>
        <w:t>r</w:t>
      </w:r>
      <w:r w:rsidR="003E2FDC">
        <w:rPr>
          <w:rFonts w:eastAsia="Times New Roman" w:cs="Arial"/>
        </w:rPr>
        <w:t xml:space="preserve"> range of </w:t>
      </w:r>
      <w:r w:rsidR="008601CA">
        <w:rPr>
          <w:rFonts w:eastAsia="Times New Roman" w:cs="Arial"/>
        </w:rPr>
        <w:t xml:space="preserve">study </w:t>
      </w:r>
      <w:r w:rsidR="003E2FDC">
        <w:rPr>
          <w:rFonts w:eastAsia="Times New Roman" w:cs="Arial"/>
        </w:rPr>
        <w:t>designs</w:t>
      </w:r>
      <w:r w:rsidR="008601CA">
        <w:rPr>
          <w:rFonts w:eastAsia="Times New Roman" w:cs="Arial"/>
        </w:rPr>
        <w:t xml:space="preserve">, e.g. </w:t>
      </w:r>
      <w:r w:rsidR="005F65B5" w:rsidRPr="006E7959">
        <w:rPr>
          <w:rFonts w:eastAsia="Times New Roman" w:cs="Arial"/>
        </w:rPr>
        <w:t>controlled designs without an external data source</w:t>
      </w:r>
      <w:r w:rsidRPr="005F65B5">
        <w:t>.</w:t>
      </w:r>
      <w:r w:rsidR="00AB3ECA">
        <w:t xml:space="preserve"> Th</w:t>
      </w:r>
      <w:r>
        <w:t>e</w:t>
      </w:r>
      <w:r w:rsidR="00AB3ECA">
        <w:t xml:space="preserve"> </w:t>
      </w:r>
      <w:r w:rsidR="0016440C">
        <w:t>main focus of</w:t>
      </w:r>
      <w:r w:rsidR="00C2436B">
        <w:t xml:space="preserve"> this </w:t>
      </w:r>
      <w:r w:rsidR="00AB3ECA">
        <w:t xml:space="preserve">document is therefore on </w:t>
      </w:r>
      <w:r w:rsidR="00860BE6">
        <w:t xml:space="preserve">patient </w:t>
      </w:r>
      <w:r w:rsidR="00AB3ECA">
        <w:t>disease registries</w:t>
      </w:r>
      <w:r w:rsidR="00C2436B">
        <w:t xml:space="preserve"> even if many considerations also apply to </w:t>
      </w:r>
      <w:r w:rsidR="0016440C" w:rsidRPr="0016440C">
        <w:t xml:space="preserve">product registries or registries of patients defined by </w:t>
      </w:r>
      <w:r w:rsidR="0016440C">
        <w:t xml:space="preserve">a </w:t>
      </w:r>
      <w:r w:rsidR="0016440C" w:rsidRPr="0016440C">
        <w:t>specific condition</w:t>
      </w:r>
      <w:r w:rsidR="00AB3ECA">
        <w:t xml:space="preserve">. </w:t>
      </w:r>
    </w:p>
    <w:p w:rsidR="004238DD" w:rsidRDefault="00D64049" w:rsidP="004238DD">
      <w:pPr>
        <w:spacing w:after="140" w:line="280" w:lineRule="exact"/>
      </w:pPr>
      <w:r w:rsidRPr="00AD4CBC">
        <w:t xml:space="preserve">The data collected in a registry may be used for the purpose of a specific </w:t>
      </w:r>
      <w:r w:rsidRPr="00AE1A42">
        <w:t>study</w:t>
      </w:r>
      <w:r w:rsidRPr="00AD4CBC">
        <w:t>, i.e. a detailed investigation of a research question or hypothesis. The difference</w:t>
      </w:r>
      <w:r>
        <w:t>s</w:t>
      </w:r>
      <w:r w:rsidRPr="00AD4CBC">
        <w:t xml:space="preserve"> between a </w:t>
      </w:r>
      <w:r w:rsidRPr="00902F75">
        <w:t>registry</w:t>
      </w:r>
      <w:r w:rsidRPr="00AE1A42">
        <w:t xml:space="preserve"> and a registry</w:t>
      </w:r>
      <w:r>
        <w:t>-based</w:t>
      </w:r>
      <w:r w:rsidRPr="00AE1A42">
        <w:t xml:space="preserve"> study</w:t>
      </w:r>
      <w:r w:rsidRPr="00AD4CBC">
        <w:t xml:space="preserve"> </w:t>
      </w:r>
      <w:r w:rsidR="003D03B0">
        <w:t xml:space="preserve">(a </w:t>
      </w:r>
      <w:r w:rsidRPr="00101309">
        <w:rPr>
          <w:i/>
        </w:rPr>
        <w:t>registry study</w:t>
      </w:r>
      <w:r>
        <w:t xml:space="preserve">) are highlighted as they </w:t>
      </w:r>
      <w:r w:rsidRPr="00AD4CBC">
        <w:t>must be well understood to avoid confusion in concepts and methods</w:t>
      </w:r>
      <w:r>
        <w:t xml:space="preserve">. This </w:t>
      </w:r>
      <w:r w:rsidR="00357369">
        <w:t xml:space="preserve">discussion </w:t>
      </w:r>
      <w:r>
        <w:t xml:space="preserve">paper therefore provides different sets of considerations for </w:t>
      </w:r>
      <w:r w:rsidR="00357369">
        <w:t xml:space="preserve">patient </w:t>
      </w:r>
      <w:r w:rsidR="003E776E">
        <w:t xml:space="preserve">disease </w:t>
      </w:r>
      <w:r>
        <w:t xml:space="preserve">registries (“good registry </w:t>
      </w:r>
      <w:r w:rsidR="003E776E">
        <w:t>practice</w:t>
      </w:r>
      <w:r>
        <w:t>”) and for registry studies.</w:t>
      </w:r>
    </w:p>
    <w:p w:rsidR="004238DD" w:rsidRPr="001A2641" w:rsidRDefault="00D64049" w:rsidP="004238DD">
      <w:pPr>
        <w:spacing w:after="140" w:line="280" w:lineRule="exact"/>
        <w:contextualSpacing/>
      </w:pPr>
      <w:r w:rsidRPr="0088373E">
        <w:t xml:space="preserve">For </w:t>
      </w:r>
      <w:r w:rsidRPr="001A2641">
        <w:rPr>
          <w:b/>
        </w:rPr>
        <w:t xml:space="preserve">patient </w:t>
      </w:r>
      <w:r w:rsidR="00A70F5A">
        <w:rPr>
          <w:b/>
        </w:rPr>
        <w:t xml:space="preserve">disease </w:t>
      </w:r>
      <w:r w:rsidRPr="001A2641">
        <w:rPr>
          <w:b/>
        </w:rPr>
        <w:t>registries</w:t>
      </w:r>
      <w:r w:rsidRPr="001A2641">
        <w:t>, the following considerations are emphasised:</w:t>
      </w:r>
    </w:p>
    <w:p w:rsidR="004238DD" w:rsidRPr="00BA6B4E" w:rsidRDefault="00D64049" w:rsidP="004238DD">
      <w:pPr>
        <w:pStyle w:val="Listenabsatz"/>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Patient population</w:t>
      </w:r>
      <w:r w:rsidRPr="00BA6B4E">
        <w:rPr>
          <w:rFonts w:ascii="Verdana" w:hAnsi="Verdana"/>
          <w:sz w:val="18"/>
          <w:szCs w:val="18"/>
        </w:rPr>
        <w:t>: g</w:t>
      </w:r>
      <w:r w:rsidRPr="00BA6B4E">
        <w:rPr>
          <w:rFonts w:ascii="Verdana" w:hAnsi="Verdana"/>
          <w:sz w:val="18"/>
          <w:szCs w:val="18"/>
          <w:lang w:val="en"/>
        </w:rPr>
        <w:t xml:space="preserve">reat care should be exercised to </w:t>
      </w:r>
      <w:r w:rsidR="000E3172">
        <w:rPr>
          <w:rFonts w:ascii="Verdana" w:hAnsi="Verdana"/>
          <w:sz w:val="18"/>
          <w:szCs w:val="18"/>
          <w:lang w:val="en"/>
        </w:rPr>
        <w:t xml:space="preserve">ensure exhaustive </w:t>
      </w:r>
      <w:r w:rsidR="005F65B5">
        <w:rPr>
          <w:rFonts w:ascii="Verdana" w:hAnsi="Verdana"/>
          <w:sz w:val="18"/>
          <w:szCs w:val="18"/>
          <w:lang w:val="en"/>
        </w:rPr>
        <w:t xml:space="preserve">enrolment </w:t>
      </w:r>
      <w:r w:rsidR="000E3172">
        <w:rPr>
          <w:rFonts w:ascii="Verdana" w:hAnsi="Verdana"/>
          <w:sz w:val="18"/>
          <w:szCs w:val="18"/>
          <w:lang w:val="en"/>
        </w:rPr>
        <w:t xml:space="preserve">of patients and </w:t>
      </w:r>
      <w:r w:rsidRPr="00BA6B4E">
        <w:rPr>
          <w:rFonts w:ascii="Verdana" w:hAnsi="Verdana"/>
          <w:sz w:val="18"/>
          <w:szCs w:val="18"/>
          <w:lang w:val="en"/>
        </w:rPr>
        <w:t>avoid selection bias,</w:t>
      </w:r>
      <w:r w:rsidRPr="00BA6B4E">
        <w:rPr>
          <w:rFonts w:ascii="Verdana" w:hAnsi="Verdana"/>
          <w:sz w:val="18"/>
          <w:szCs w:val="18"/>
        </w:rPr>
        <w:t xml:space="preserve"> </w:t>
      </w:r>
      <w:r w:rsidRPr="00BA6B4E">
        <w:rPr>
          <w:rFonts w:ascii="Verdana" w:hAnsi="Verdana"/>
          <w:sz w:val="18"/>
          <w:szCs w:val="18"/>
          <w:lang w:val="en"/>
        </w:rPr>
        <w:t xml:space="preserve">i.e. the situation where </w:t>
      </w:r>
      <w:r w:rsidR="007D4F11">
        <w:rPr>
          <w:rFonts w:ascii="Verdana" w:hAnsi="Verdana"/>
          <w:sz w:val="18"/>
          <w:szCs w:val="18"/>
          <w:lang w:val="en"/>
        </w:rPr>
        <w:t>en</w:t>
      </w:r>
      <w:r w:rsidR="00860BE6">
        <w:rPr>
          <w:rFonts w:ascii="Verdana" w:hAnsi="Verdana"/>
          <w:sz w:val="18"/>
          <w:szCs w:val="18"/>
          <w:lang w:val="en"/>
        </w:rPr>
        <w:t>r</w:t>
      </w:r>
      <w:r w:rsidR="007D4F11">
        <w:rPr>
          <w:rFonts w:ascii="Verdana" w:hAnsi="Verdana"/>
          <w:sz w:val="18"/>
          <w:szCs w:val="18"/>
          <w:lang w:val="en"/>
        </w:rPr>
        <w:t>olment</w:t>
      </w:r>
      <w:r w:rsidR="007D4F11" w:rsidRPr="00BA6B4E">
        <w:rPr>
          <w:rFonts w:ascii="Verdana" w:hAnsi="Verdana"/>
          <w:sz w:val="18"/>
          <w:szCs w:val="18"/>
          <w:lang w:val="en"/>
        </w:rPr>
        <w:t xml:space="preserve"> </w:t>
      </w:r>
      <w:r w:rsidRPr="00BA6B4E">
        <w:rPr>
          <w:rFonts w:ascii="Verdana" w:hAnsi="Verdana"/>
          <w:sz w:val="18"/>
          <w:szCs w:val="18"/>
          <w:lang w:val="en"/>
        </w:rPr>
        <w:t xml:space="preserve">is influenced by patient characteristics that may affect the validity of the analyses. Registries are prone to selection bias because numerous factors may influence the </w:t>
      </w:r>
      <w:r w:rsidR="007D4F11">
        <w:rPr>
          <w:rFonts w:ascii="Verdana" w:hAnsi="Verdana"/>
          <w:sz w:val="18"/>
          <w:szCs w:val="18"/>
          <w:lang w:val="en"/>
        </w:rPr>
        <w:t>enrolment</w:t>
      </w:r>
      <w:r w:rsidR="007D4F11" w:rsidRPr="00BA6B4E">
        <w:rPr>
          <w:rFonts w:ascii="Verdana" w:hAnsi="Verdana"/>
          <w:sz w:val="18"/>
          <w:szCs w:val="18"/>
          <w:lang w:val="en"/>
        </w:rPr>
        <w:t xml:space="preserve"> </w:t>
      </w:r>
      <w:r w:rsidRPr="00BA6B4E">
        <w:rPr>
          <w:rFonts w:ascii="Verdana" w:hAnsi="Verdana"/>
          <w:sz w:val="18"/>
          <w:szCs w:val="18"/>
          <w:lang w:val="en"/>
        </w:rPr>
        <w:t xml:space="preserve">of patients in a registry and may be difficult to identify in advance and prevent. Four steps are proposed to be considered in the definition and </w:t>
      </w:r>
      <w:r w:rsidR="007D4F11">
        <w:rPr>
          <w:rFonts w:ascii="Verdana" w:hAnsi="Verdana"/>
          <w:sz w:val="18"/>
          <w:szCs w:val="18"/>
          <w:lang w:val="en"/>
        </w:rPr>
        <w:t>enrolment</w:t>
      </w:r>
      <w:r w:rsidR="007D4F11" w:rsidRPr="00BA6B4E">
        <w:rPr>
          <w:rFonts w:ascii="Verdana" w:hAnsi="Verdana"/>
          <w:sz w:val="18"/>
          <w:szCs w:val="18"/>
          <w:lang w:val="en"/>
        </w:rPr>
        <w:t xml:space="preserve"> </w:t>
      </w:r>
      <w:r w:rsidRPr="00BA6B4E">
        <w:rPr>
          <w:rFonts w:ascii="Verdana" w:hAnsi="Verdana"/>
          <w:sz w:val="18"/>
          <w:szCs w:val="18"/>
          <w:lang w:val="en"/>
        </w:rPr>
        <w:t>of a study population</w:t>
      </w:r>
      <w:r w:rsidR="00E7468D">
        <w:rPr>
          <w:rFonts w:ascii="Verdana" w:hAnsi="Verdana"/>
          <w:sz w:val="18"/>
          <w:szCs w:val="18"/>
          <w:lang w:val="en"/>
        </w:rPr>
        <w:t>.</w:t>
      </w:r>
      <w:r w:rsidR="00E7468D" w:rsidRPr="00BA6B4E">
        <w:rPr>
          <w:rFonts w:ascii="Verdana" w:hAnsi="Verdana"/>
          <w:sz w:val="18"/>
          <w:szCs w:val="18"/>
          <w:lang w:val="en"/>
        </w:rPr>
        <w:t xml:space="preserve"> </w:t>
      </w:r>
    </w:p>
    <w:p w:rsidR="004238DD" w:rsidRPr="00BA6B4E" w:rsidRDefault="00D64049" w:rsidP="004238DD">
      <w:pPr>
        <w:pStyle w:val="Listenabsatz"/>
        <w:numPr>
          <w:ilvl w:val="0"/>
          <w:numId w:val="32"/>
        </w:numPr>
        <w:spacing w:after="140" w:line="280" w:lineRule="exact"/>
        <w:ind w:left="357" w:hanging="357"/>
        <w:contextualSpacing w:val="0"/>
        <w:rPr>
          <w:rStyle w:val="Fett"/>
          <w:rFonts w:ascii="Verdana" w:hAnsi="Verdana"/>
          <w:b w:val="0"/>
          <w:bCs w:val="0"/>
          <w:sz w:val="18"/>
          <w:szCs w:val="18"/>
        </w:rPr>
      </w:pPr>
      <w:r w:rsidRPr="00BA6B4E">
        <w:rPr>
          <w:rFonts w:ascii="Verdana" w:hAnsi="Verdana"/>
          <w:i/>
          <w:sz w:val="18"/>
          <w:szCs w:val="18"/>
        </w:rPr>
        <w:t>Time elements</w:t>
      </w:r>
      <w:r w:rsidRPr="00BA6B4E">
        <w:rPr>
          <w:rFonts w:ascii="Verdana" w:hAnsi="Verdana"/>
          <w:sz w:val="18"/>
          <w:szCs w:val="18"/>
        </w:rPr>
        <w:t xml:space="preserve">: </w:t>
      </w:r>
      <w:r w:rsidRPr="00BA6B4E">
        <w:rPr>
          <w:rStyle w:val="Fett"/>
          <w:rFonts w:ascii="Verdana" w:hAnsi="Verdana"/>
          <w:b w:val="0"/>
          <w:sz w:val="18"/>
          <w:szCs w:val="18"/>
          <w:lang w:val="en"/>
        </w:rPr>
        <w:t xml:space="preserve">accurate knowledge and recording of dates of important events are essential components of all registries. A list of core time elements that should normally be collected in all registries is proposed. </w:t>
      </w:r>
      <w:r w:rsidR="000532EB">
        <w:rPr>
          <w:rStyle w:val="Fett"/>
          <w:rFonts w:ascii="Verdana" w:hAnsi="Verdana"/>
          <w:b w:val="0"/>
          <w:sz w:val="18"/>
          <w:szCs w:val="18"/>
          <w:lang w:val="en"/>
        </w:rPr>
        <w:t>D</w:t>
      </w:r>
      <w:r w:rsidR="000532EB" w:rsidRPr="00BA6B4E">
        <w:rPr>
          <w:rStyle w:val="Fett"/>
          <w:rFonts w:ascii="Verdana" w:hAnsi="Verdana"/>
          <w:b w:val="0"/>
          <w:sz w:val="18"/>
          <w:szCs w:val="18"/>
          <w:lang w:val="en"/>
        </w:rPr>
        <w:t xml:space="preserve">efinitions </w:t>
      </w:r>
      <w:r w:rsidRPr="00BA6B4E">
        <w:rPr>
          <w:rStyle w:val="Fett"/>
          <w:rFonts w:ascii="Verdana" w:hAnsi="Verdana"/>
          <w:b w:val="0"/>
          <w:sz w:val="18"/>
          <w:szCs w:val="18"/>
          <w:lang w:val="en"/>
        </w:rPr>
        <w:t>should be standardised across different registries.</w:t>
      </w:r>
    </w:p>
    <w:p w:rsidR="004238DD" w:rsidRPr="00BA6B4E" w:rsidRDefault="00D64049" w:rsidP="004238DD">
      <w:pPr>
        <w:pStyle w:val="Listenabsatz"/>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Core data elements</w:t>
      </w:r>
      <w:r w:rsidRPr="00BA6B4E">
        <w:rPr>
          <w:rFonts w:ascii="Verdana" w:hAnsi="Verdana"/>
          <w:sz w:val="18"/>
          <w:szCs w:val="18"/>
        </w:rPr>
        <w:t>:</w:t>
      </w:r>
      <w:r w:rsidRPr="00BA6B4E">
        <w:rPr>
          <w:rFonts w:ascii="Verdana" w:hAnsi="Verdana" w:cs="Arial"/>
          <w:kern w:val="24"/>
          <w:sz w:val="18"/>
          <w:szCs w:val="18"/>
        </w:rPr>
        <w:t xml:space="preserve"> </w:t>
      </w:r>
      <w:r w:rsidR="007D4F11">
        <w:rPr>
          <w:rFonts w:ascii="Verdana" w:hAnsi="Verdana" w:cs="Arial"/>
          <w:kern w:val="24"/>
          <w:sz w:val="18"/>
          <w:szCs w:val="18"/>
        </w:rPr>
        <w:t xml:space="preserve">a list of core </w:t>
      </w:r>
      <w:r w:rsidRPr="00BA6B4E">
        <w:rPr>
          <w:rFonts w:ascii="Verdana" w:hAnsi="Verdana" w:cs="Arial"/>
          <w:kern w:val="24"/>
          <w:sz w:val="18"/>
          <w:szCs w:val="18"/>
        </w:rPr>
        <w:t xml:space="preserve">data </w:t>
      </w:r>
      <w:r w:rsidR="007D4F11">
        <w:rPr>
          <w:rFonts w:ascii="Verdana" w:hAnsi="Verdana" w:cs="Arial"/>
          <w:kern w:val="24"/>
          <w:sz w:val="18"/>
          <w:szCs w:val="18"/>
        </w:rPr>
        <w:t>elements</w:t>
      </w:r>
      <w:r w:rsidR="000A5E57">
        <w:rPr>
          <w:rFonts w:ascii="Verdana" w:hAnsi="Verdana" w:cs="Arial"/>
          <w:kern w:val="24"/>
          <w:sz w:val="18"/>
          <w:szCs w:val="18"/>
        </w:rPr>
        <w:t xml:space="preserve"> to be collected in all patients</w:t>
      </w:r>
      <w:r w:rsidR="007D4F11">
        <w:rPr>
          <w:rFonts w:ascii="Verdana" w:hAnsi="Verdana" w:cs="Arial"/>
          <w:kern w:val="24"/>
          <w:sz w:val="18"/>
          <w:szCs w:val="18"/>
        </w:rPr>
        <w:t xml:space="preserve"> </w:t>
      </w:r>
      <w:r w:rsidR="004E57A3">
        <w:rPr>
          <w:rFonts w:ascii="Verdana" w:hAnsi="Verdana" w:cs="Arial"/>
          <w:kern w:val="24"/>
          <w:sz w:val="18"/>
          <w:szCs w:val="18"/>
        </w:rPr>
        <w:t>i</w:t>
      </w:r>
      <w:r w:rsidR="007D4F11">
        <w:rPr>
          <w:rFonts w:ascii="Verdana" w:hAnsi="Verdana" w:cs="Arial"/>
          <w:kern w:val="24"/>
          <w:sz w:val="18"/>
          <w:szCs w:val="18"/>
        </w:rPr>
        <w:t>s proposed</w:t>
      </w:r>
      <w:r w:rsidRPr="00BA6B4E">
        <w:rPr>
          <w:rFonts w:ascii="Verdana" w:hAnsi="Verdana" w:cs="Arial"/>
          <w:kern w:val="24"/>
          <w:sz w:val="18"/>
          <w:szCs w:val="18"/>
        </w:rPr>
        <w:t xml:space="preserve">. </w:t>
      </w:r>
      <w:r w:rsidR="004E57A3">
        <w:rPr>
          <w:rFonts w:ascii="Verdana" w:hAnsi="Verdana" w:cs="Arial"/>
          <w:kern w:val="24"/>
          <w:sz w:val="18"/>
          <w:szCs w:val="18"/>
        </w:rPr>
        <w:t>They</w:t>
      </w:r>
      <w:r w:rsidR="00A70F5A">
        <w:rPr>
          <w:rFonts w:ascii="Verdana" w:hAnsi="Verdana" w:cs="Arial"/>
          <w:kern w:val="24"/>
          <w:sz w:val="18"/>
          <w:szCs w:val="18"/>
        </w:rPr>
        <w:t xml:space="preserve"> </w:t>
      </w:r>
      <w:r w:rsidRPr="00BA6B4E">
        <w:rPr>
          <w:rFonts w:ascii="Verdana" w:hAnsi="Verdana" w:cs="Arial"/>
          <w:kern w:val="24"/>
          <w:sz w:val="18"/>
          <w:szCs w:val="18"/>
        </w:rPr>
        <w:t xml:space="preserve">should be harmonised </w:t>
      </w:r>
      <w:r>
        <w:rPr>
          <w:rFonts w:ascii="Verdana" w:hAnsi="Verdana" w:cs="Arial"/>
          <w:kern w:val="24"/>
          <w:sz w:val="18"/>
          <w:szCs w:val="18"/>
        </w:rPr>
        <w:t xml:space="preserve">or mapped </w:t>
      </w:r>
      <w:r w:rsidR="00CB63E2">
        <w:rPr>
          <w:rFonts w:ascii="Verdana" w:hAnsi="Verdana" w:cs="Arial"/>
          <w:kern w:val="24"/>
          <w:sz w:val="18"/>
          <w:szCs w:val="18"/>
        </w:rPr>
        <w:t>across registries for a same disease</w:t>
      </w:r>
      <w:r w:rsidR="00111A75">
        <w:rPr>
          <w:rFonts w:ascii="Verdana" w:hAnsi="Verdana" w:cs="Arial"/>
          <w:kern w:val="24"/>
          <w:sz w:val="18"/>
          <w:szCs w:val="18"/>
        </w:rPr>
        <w:t xml:space="preserve"> </w:t>
      </w:r>
      <w:r w:rsidRPr="00BA6B4E">
        <w:rPr>
          <w:rFonts w:ascii="Verdana" w:hAnsi="Verdana" w:cs="Arial"/>
          <w:kern w:val="24"/>
          <w:sz w:val="18"/>
          <w:szCs w:val="18"/>
        </w:rPr>
        <w:t>to support regulatory evaluations</w:t>
      </w:r>
      <w:r w:rsidR="00860BE6">
        <w:rPr>
          <w:rFonts w:ascii="Verdana" w:hAnsi="Verdana" w:cs="Arial"/>
          <w:kern w:val="24"/>
          <w:sz w:val="18"/>
          <w:szCs w:val="18"/>
        </w:rPr>
        <w:t xml:space="preserve"> and</w:t>
      </w:r>
      <w:r w:rsidR="00FA262D" w:rsidRPr="00BA6B4E">
        <w:rPr>
          <w:rFonts w:ascii="Verdana" w:hAnsi="Verdana" w:cs="Arial"/>
          <w:kern w:val="24"/>
          <w:sz w:val="18"/>
          <w:szCs w:val="18"/>
        </w:rPr>
        <w:t xml:space="preserve"> </w:t>
      </w:r>
      <w:r w:rsidRPr="00BA6B4E">
        <w:rPr>
          <w:rFonts w:ascii="Verdana" w:hAnsi="Verdana" w:cs="Arial"/>
          <w:kern w:val="24"/>
          <w:sz w:val="18"/>
          <w:szCs w:val="18"/>
        </w:rPr>
        <w:t>facilitate implementation of a common data quality system, data exchange, common data analysis and interpretation of results from different registries.</w:t>
      </w:r>
    </w:p>
    <w:p w:rsidR="004238DD" w:rsidRPr="00BA6B4E" w:rsidRDefault="00D64049" w:rsidP="004238DD">
      <w:pPr>
        <w:pStyle w:val="Listenabsatz"/>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Terminologies</w:t>
      </w:r>
      <w:r w:rsidRPr="00BA6B4E">
        <w:rPr>
          <w:rFonts w:ascii="Verdana" w:hAnsi="Verdana"/>
          <w:sz w:val="18"/>
          <w:szCs w:val="18"/>
        </w:rPr>
        <w:t xml:space="preserve">: </w:t>
      </w:r>
      <w:r>
        <w:rPr>
          <w:rStyle w:val="Fett"/>
          <w:rFonts w:ascii="Verdana" w:hAnsi="Verdana"/>
          <w:b w:val="0"/>
          <w:sz w:val="18"/>
          <w:szCs w:val="18"/>
          <w:lang w:val="en"/>
        </w:rPr>
        <w:t>common</w:t>
      </w:r>
      <w:r w:rsidRPr="00BA6B4E">
        <w:rPr>
          <w:rStyle w:val="Fett"/>
          <w:rFonts w:ascii="Verdana" w:hAnsi="Verdana"/>
          <w:b w:val="0"/>
          <w:sz w:val="18"/>
          <w:szCs w:val="18"/>
          <w:lang w:val="en"/>
        </w:rPr>
        <w:t xml:space="preserve"> terminologies should be used</w:t>
      </w:r>
      <w:r>
        <w:rPr>
          <w:rStyle w:val="Fett"/>
          <w:rFonts w:ascii="Verdana" w:hAnsi="Verdana"/>
          <w:b w:val="0"/>
          <w:sz w:val="18"/>
          <w:szCs w:val="18"/>
          <w:lang w:val="en"/>
        </w:rPr>
        <w:t xml:space="preserve"> across registries</w:t>
      </w:r>
      <w:r w:rsidRPr="00BA6B4E">
        <w:rPr>
          <w:rStyle w:val="Fett"/>
          <w:rFonts w:ascii="Verdana" w:hAnsi="Verdana"/>
          <w:b w:val="0"/>
          <w:sz w:val="18"/>
          <w:szCs w:val="18"/>
          <w:lang w:val="en"/>
        </w:rPr>
        <w:t xml:space="preserve"> for diseases, diagnostic tests, symptoms, medicinal products, </w:t>
      </w:r>
      <w:r w:rsidR="00210DD8">
        <w:rPr>
          <w:rStyle w:val="Fett"/>
          <w:rFonts w:ascii="Verdana" w:hAnsi="Verdana"/>
          <w:b w:val="0"/>
          <w:sz w:val="18"/>
          <w:szCs w:val="18"/>
          <w:lang w:val="en"/>
        </w:rPr>
        <w:t xml:space="preserve">active </w:t>
      </w:r>
      <w:r w:rsidRPr="00BA6B4E">
        <w:rPr>
          <w:rStyle w:val="Fett"/>
          <w:rFonts w:ascii="Verdana" w:hAnsi="Verdana"/>
          <w:b w:val="0"/>
          <w:sz w:val="18"/>
          <w:szCs w:val="18"/>
          <w:lang w:val="en"/>
        </w:rPr>
        <w:t xml:space="preserve">substances, adverse events and other relevant data. </w:t>
      </w:r>
      <w:r>
        <w:rPr>
          <w:rStyle w:val="Fett"/>
          <w:rFonts w:ascii="Verdana" w:hAnsi="Verdana"/>
          <w:b w:val="0"/>
          <w:sz w:val="18"/>
          <w:szCs w:val="18"/>
          <w:lang w:val="en"/>
        </w:rPr>
        <w:t xml:space="preserve">Where local or national terminologies are used, these should be mapped to international </w:t>
      </w:r>
      <w:r>
        <w:rPr>
          <w:rStyle w:val="Fett"/>
          <w:rFonts w:ascii="Verdana" w:hAnsi="Verdana"/>
          <w:b w:val="0"/>
          <w:sz w:val="18"/>
          <w:szCs w:val="18"/>
          <w:lang w:val="en"/>
        </w:rPr>
        <w:lastRenderedPageBreak/>
        <w:t xml:space="preserve">terminologies. </w:t>
      </w:r>
      <w:r w:rsidRPr="00BA6B4E">
        <w:rPr>
          <w:rStyle w:val="Fett"/>
          <w:rFonts w:ascii="Verdana" w:hAnsi="Verdana"/>
          <w:b w:val="0"/>
          <w:sz w:val="18"/>
          <w:szCs w:val="18"/>
          <w:lang w:val="en"/>
        </w:rPr>
        <w:t>A list of examples of recommended international terminologies for different data elements is provided.</w:t>
      </w:r>
    </w:p>
    <w:p w:rsidR="004238DD" w:rsidRPr="00BA6B4E" w:rsidRDefault="00D64049" w:rsidP="004238DD">
      <w:pPr>
        <w:pStyle w:val="Listenabsatz"/>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Quality management</w:t>
      </w:r>
      <w:r w:rsidRPr="00BA6B4E">
        <w:rPr>
          <w:rFonts w:ascii="Verdana" w:hAnsi="Verdana"/>
          <w:sz w:val="18"/>
          <w:szCs w:val="18"/>
        </w:rPr>
        <w:t xml:space="preserve">: quality planning, quality assurance, quality control and quality improvement are activities of quality management that should be continuously in place and considered as part of the </w:t>
      </w:r>
      <w:r w:rsidR="008B7166" w:rsidRPr="00BA6B4E">
        <w:rPr>
          <w:rFonts w:ascii="Verdana" w:hAnsi="Verdana"/>
          <w:sz w:val="18"/>
          <w:szCs w:val="18"/>
        </w:rPr>
        <w:t>management</w:t>
      </w:r>
      <w:r w:rsidRPr="00BA6B4E">
        <w:rPr>
          <w:rFonts w:ascii="Verdana" w:hAnsi="Verdana"/>
          <w:sz w:val="18"/>
          <w:szCs w:val="18"/>
        </w:rPr>
        <w:t xml:space="preserve"> of registries. Data quality should </w:t>
      </w:r>
      <w:r w:rsidR="008B7166" w:rsidRPr="00BA6B4E">
        <w:rPr>
          <w:rFonts w:ascii="Verdana" w:hAnsi="Verdana"/>
          <w:sz w:val="18"/>
          <w:szCs w:val="18"/>
        </w:rPr>
        <w:t>address their</w:t>
      </w:r>
      <w:r w:rsidRPr="00BA6B4E">
        <w:rPr>
          <w:rFonts w:ascii="Verdana" w:hAnsi="Verdana"/>
          <w:sz w:val="18"/>
          <w:szCs w:val="18"/>
        </w:rPr>
        <w:t xml:space="preserve"> consistency, completeness, accuracy and timeliness. Measures to improve data quality </w:t>
      </w:r>
      <w:r w:rsidR="008B7166" w:rsidRPr="00BA6B4E">
        <w:rPr>
          <w:rFonts w:ascii="Verdana" w:hAnsi="Verdana"/>
          <w:sz w:val="18"/>
          <w:szCs w:val="18"/>
        </w:rPr>
        <w:t>are described</w:t>
      </w:r>
      <w:r>
        <w:rPr>
          <w:rFonts w:ascii="Verdana" w:hAnsi="Verdana"/>
          <w:sz w:val="18"/>
          <w:szCs w:val="18"/>
        </w:rPr>
        <w:t>. They</w:t>
      </w:r>
      <w:r w:rsidR="008B7166" w:rsidRPr="00BA6B4E">
        <w:rPr>
          <w:rFonts w:ascii="Verdana" w:hAnsi="Verdana"/>
          <w:sz w:val="18"/>
          <w:szCs w:val="18"/>
        </w:rPr>
        <w:t xml:space="preserve"> may be performed</w:t>
      </w:r>
      <w:r w:rsidRPr="00BA6B4E">
        <w:rPr>
          <w:rFonts w:ascii="Verdana" w:hAnsi="Verdana"/>
          <w:sz w:val="18"/>
          <w:szCs w:val="18"/>
        </w:rPr>
        <w:t xml:space="preserve"> at management level and at </w:t>
      </w:r>
      <w:r w:rsidR="00FA262D">
        <w:rPr>
          <w:rFonts w:ascii="Verdana" w:hAnsi="Verdana"/>
          <w:sz w:val="18"/>
          <w:szCs w:val="18"/>
        </w:rPr>
        <w:t>operational</w:t>
      </w:r>
      <w:r w:rsidR="00FA262D" w:rsidRPr="00BA6B4E">
        <w:rPr>
          <w:rFonts w:ascii="Verdana" w:hAnsi="Verdana"/>
          <w:sz w:val="18"/>
          <w:szCs w:val="18"/>
        </w:rPr>
        <w:t xml:space="preserve"> </w:t>
      </w:r>
      <w:r w:rsidRPr="00BA6B4E">
        <w:rPr>
          <w:rFonts w:ascii="Verdana" w:hAnsi="Verdana"/>
          <w:sz w:val="18"/>
          <w:szCs w:val="18"/>
        </w:rPr>
        <w:t>level. Indicators of data quality are useful tools to measure and improve data quality.</w:t>
      </w:r>
    </w:p>
    <w:p w:rsidR="004238DD" w:rsidRPr="00BA6B4E" w:rsidRDefault="00D64049" w:rsidP="00E13C92">
      <w:pPr>
        <w:pStyle w:val="Listenabsatz"/>
        <w:numPr>
          <w:ilvl w:val="0"/>
          <w:numId w:val="32"/>
        </w:numPr>
        <w:spacing w:after="140" w:line="280" w:lineRule="exact"/>
        <w:contextualSpacing w:val="0"/>
        <w:rPr>
          <w:rFonts w:ascii="Verdana" w:hAnsi="Verdana"/>
          <w:sz w:val="18"/>
          <w:szCs w:val="18"/>
        </w:rPr>
      </w:pPr>
      <w:r w:rsidRPr="00BA6B4E">
        <w:rPr>
          <w:rFonts w:ascii="Verdana" w:hAnsi="Verdana"/>
          <w:i/>
          <w:sz w:val="18"/>
          <w:szCs w:val="18"/>
        </w:rPr>
        <w:t>Safety analysis</w:t>
      </w:r>
      <w:r w:rsidRPr="00BA6B4E">
        <w:rPr>
          <w:rFonts w:ascii="Verdana" w:hAnsi="Verdana"/>
          <w:sz w:val="18"/>
          <w:szCs w:val="18"/>
        </w:rPr>
        <w:t xml:space="preserve">: </w:t>
      </w:r>
      <w:r w:rsidR="00E13C92">
        <w:rPr>
          <w:rFonts w:ascii="Verdana" w:hAnsi="Verdana"/>
          <w:sz w:val="18"/>
          <w:szCs w:val="18"/>
        </w:rPr>
        <w:t>d</w:t>
      </w:r>
      <w:r w:rsidR="00E13C92" w:rsidRPr="00E13C92">
        <w:rPr>
          <w:rFonts w:ascii="Verdana" w:hAnsi="Verdana"/>
          <w:sz w:val="18"/>
          <w:szCs w:val="18"/>
        </w:rPr>
        <w:t xml:space="preserve">isease registries conducted by organisations such as academia or medical research </w:t>
      </w:r>
      <w:r w:rsidR="009811F1">
        <w:rPr>
          <w:rFonts w:ascii="Verdana" w:hAnsi="Verdana"/>
          <w:sz w:val="18"/>
          <w:szCs w:val="18"/>
        </w:rPr>
        <w:t>associations</w:t>
      </w:r>
      <w:r w:rsidR="00E13C92" w:rsidRPr="00E13C92">
        <w:rPr>
          <w:rFonts w:ascii="Verdana" w:hAnsi="Verdana"/>
          <w:sz w:val="18"/>
          <w:szCs w:val="18"/>
        </w:rPr>
        <w:t xml:space="preserve"> should follow the national requirements </w:t>
      </w:r>
      <w:r>
        <w:rPr>
          <w:rFonts w:ascii="Verdana" w:hAnsi="Verdana"/>
          <w:sz w:val="18"/>
          <w:szCs w:val="18"/>
        </w:rPr>
        <w:t>for</w:t>
      </w:r>
      <w:r w:rsidR="00E13C92" w:rsidRPr="00E13C92">
        <w:rPr>
          <w:rFonts w:ascii="Verdana" w:hAnsi="Verdana"/>
          <w:sz w:val="18"/>
          <w:szCs w:val="18"/>
        </w:rPr>
        <w:t xml:space="preserve"> the management of safety data.</w:t>
      </w:r>
      <w:r w:rsidR="00E13C92">
        <w:rPr>
          <w:rFonts w:ascii="Verdana" w:hAnsi="Verdana"/>
          <w:sz w:val="18"/>
          <w:szCs w:val="18"/>
        </w:rPr>
        <w:t xml:space="preserve"> </w:t>
      </w:r>
      <w:r w:rsidR="00E13C92" w:rsidRPr="00E13C92">
        <w:rPr>
          <w:rFonts w:ascii="Verdana" w:hAnsi="Verdana"/>
          <w:sz w:val="18"/>
          <w:szCs w:val="18"/>
        </w:rPr>
        <w:t xml:space="preserve">Reporting of suspected adverse reactions through the national or regional pharmacovigilance system </w:t>
      </w:r>
      <w:r w:rsidR="00E13C92">
        <w:rPr>
          <w:rFonts w:ascii="Verdana" w:hAnsi="Verdana"/>
          <w:sz w:val="18"/>
          <w:szCs w:val="18"/>
        </w:rPr>
        <w:t>sh</w:t>
      </w:r>
      <w:r w:rsidR="00E13C92" w:rsidRPr="00E13C92">
        <w:rPr>
          <w:rFonts w:ascii="Verdana" w:hAnsi="Verdana"/>
          <w:sz w:val="18"/>
          <w:szCs w:val="18"/>
        </w:rPr>
        <w:t>ould be</w:t>
      </w:r>
      <w:r w:rsidR="00E13C92">
        <w:rPr>
          <w:rFonts w:ascii="Verdana" w:hAnsi="Verdana"/>
          <w:sz w:val="18"/>
          <w:szCs w:val="18"/>
        </w:rPr>
        <w:t xml:space="preserve"> encouraged.</w:t>
      </w:r>
      <w:r w:rsidR="00E13C92" w:rsidRPr="00E13C92">
        <w:rPr>
          <w:rFonts w:ascii="Verdana" w:hAnsi="Verdana"/>
          <w:sz w:val="18"/>
          <w:szCs w:val="18"/>
        </w:rPr>
        <w:t xml:space="preserve"> Any active data collection system put in place in a disease registry and initiated, managed or funded by a MAH to collect and record suspected adverse reactions to one of its medicinal products must follow the regulatory framework for PASS. Disease registries are generally not </w:t>
      </w:r>
      <w:r w:rsidR="00A5603D">
        <w:rPr>
          <w:rFonts w:ascii="Verdana" w:hAnsi="Verdana"/>
          <w:sz w:val="18"/>
          <w:szCs w:val="18"/>
        </w:rPr>
        <w:t>suitable</w:t>
      </w:r>
      <w:r w:rsidR="00E13C92" w:rsidRPr="00E13C92">
        <w:rPr>
          <w:rFonts w:ascii="Verdana" w:hAnsi="Verdana"/>
          <w:sz w:val="18"/>
          <w:szCs w:val="18"/>
        </w:rPr>
        <w:t xml:space="preserve"> for a rapid statistical analysis of new safety signals</w:t>
      </w:r>
      <w:r>
        <w:rPr>
          <w:rFonts w:ascii="Verdana" w:hAnsi="Verdana"/>
          <w:sz w:val="18"/>
          <w:szCs w:val="18"/>
        </w:rPr>
        <w:t xml:space="preserve"> but t</w:t>
      </w:r>
      <w:r w:rsidR="006D6842">
        <w:rPr>
          <w:rFonts w:ascii="Verdana" w:hAnsi="Verdana"/>
          <w:sz w:val="18"/>
          <w:szCs w:val="18"/>
        </w:rPr>
        <w:t>hey</w:t>
      </w:r>
      <w:r w:rsidR="00E13C92" w:rsidRPr="00E13C92">
        <w:rPr>
          <w:rFonts w:ascii="Verdana" w:hAnsi="Verdana"/>
          <w:sz w:val="18"/>
          <w:szCs w:val="18"/>
        </w:rPr>
        <w:t xml:space="preserve"> may be useful for the monitoring and characterisation of known</w:t>
      </w:r>
      <w:r w:rsidR="00206AA0">
        <w:rPr>
          <w:rFonts w:ascii="Verdana" w:hAnsi="Verdana"/>
          <w:sz w:val="18"/>
          <w:szCs w:val="18"/>
        </w:rPr>
        <w:t xml:space="preserve"> or suspected adverse reactions. </w:t>
      </w:r>
      <w:r w:rsidR="00E15F99">
        <w:rPr>
          <w:rFonts w:ascii="Verdana" w:hAnsi="Verdana"/>
          <w:sz w:val="18"/>
          <w:szCs w:val="18"/>
        </w:rPr>
        <w:t>A</w:t>
      </w:r>
      <w:r w:rsidR="00E13C92" w:rsidRPr="00E13C92">
        <w:rPr>
          <w:rFonts w:ascii="Verdana" w:hAnsi="Verdana"/>
          <w:sz w:val="18"/>
          <w:szCs w:val="18"/>
        </w:rPr>
        <w:t xml:space="preserve"> list of adverse events of special interest (AESI) can be defined and integrated in the routine data collection system</w:t>
      </w:r>
      <w:r w:rsidR="00E13C92">
        <w:rPr>
          <w:rFonts w:ascii="Verdana" w:hAnsi="Verdana"/>
          <w:sz w:val="18"/>
          <w:szCs w:val="18"/>
        </w:rPr>
        <w:t xml:space="preserve">. </w:t>
      </w:r>
      <w:r w:rsidR="00E13C92" w:rsidRPr="00E13C92">
        <w:rPr>
          <w:rFonts w:ascii="Verdana" w:hAnsi="Verdana"/>
          <w:sz w:val="18"/>
          <w:szCs w:val="18"/>
        </w:rPr>
        <w:t xml:space="preserve"> </w:t>
      </w:r>
    </w:p>
    <w:p w:rsidR="004238DD" w:rsidRPr="00BA6B4E" w:rsidRDefault="00D64049" w:rsidP="004238DD">
      <w:pPr>
        <w:pStyle w:val="Listenabsatz"/>
        <w:numPr>
          <w:ilvl w:val="0"/>
          <w:numId w:val="32"/>
        </w:numPr>
        <w:spacing w:after="140" w:line="280" w:lineRule="exact"/>
        <w:ind w:left="357" w:hanging="357"/>
        <w:rPr>
          <w:rFonts w:ascii="Verdana" w:hAnsi="Verdana"/>
          <w:sz w:val="18"/>
          <w:szCs w:val="18"/>
        </w:rPr>
      </w:pPr>
      <w:r w:rsidRPr="00BA6B4E">
        <w:rPr>
          <w:rFonts w:ascii="Verdana" w:hAnsi="Verdana"/>
          <w:i/>
          <w:sz w:val="18"/>
          <w:szCs w:val="18"/>
        </w:rPr>
        <w:t>Governance</w:t>
      </w:r>
      <w:r w:rsidRPr="00BA6B4E">
        <w:rPr>
          <w:rFonts w:ascii="Verdana" w:hAnsi="Verdana"/>
          <w:sz w:val="18"/>
          <w:szCs w:val="18"/>
        </w:rPr>
        <w:t xml:space="preserve">: Most registries have </w:t>
      </w:r>
      <w:r w:rsidR="005F5253">
        <w:rPr>
          <w:rFonts w:ascii="Verdana" w:eastAsia="Verdana" w:hAnsi="Verdana"/>
          <w:sz w:val="18"/>
          <w:szCs w:val="18"/>
        </w:rPr>
        <w:t>a</w:t>
      </w:r>
      <w:r w:rsidRPr="00BA6B4E">
        <w:rPr>
          <w:rFonts w:ascii="Verdana" w:eastAsia="Verdana" w:hAnsi="Verdana"/>
          <w:sz w:val="18"/>
          <w:szCs w:val="18"/>
        </w:rPr>
        <w:t xml:space="preserve"> governance model </w:t>
      </w:r>
      <w:r w:rsidR="005F5253">
        <w:rPr>
          <w:rFonts w:ascii="Verdana" w:eastAsia="Verdana" w:hAnsi="Verdana"/>
          <w:sz w:val="18"/>
          <w:szCs w:val="18"/>
        </w:rPr>
        <w:t>relying on</w:t>
      </w:r>
      <w:r w:rsidRPr="00BA6B4E">
        <w:rPr>
          <w:rFonts w:ascii="Verdana" w:eastAsia="Verdana" w:hAnsi="Verdana"/>
          <w:sz w:val="18"/>
          <w:szCs w:val="18"/>
        </w:rPr>
        <w:t xml:space="preserve"> principles and constraints based on their mandate, operating procedures</w:t>
      </w:r>
      <w:r>
        <w:rPr>
          <w:rFonts w:ascii="Verdana" w:eastAsia="Verdana" w:hAnsi="Verdana"/>
          <w:sz w:val="18"/>
          <w:szCs w:val="18"/>
        </w:rPr>
        <w:t>,</w:t>
      </w:r>
      <w:r w:rsidRPr="00BA6B4E">
        <w:rPr>
          <w:rFonts w:ascii="Verdana" w:eastAsia="Verdana" w:hAnsi="Verdana"/>
          <w:sz w:val="18"/>
          <w:szCs w:val="18"/>
        </w:rPr>
        <w:t xml:space="preserve"> </w:t>
      </w:r>
      <w:r w:rsidR="00902F75">
        <w:rPr>
          <w:rFonts w:ascii="Verdana" w:eastAsia="Verdana" w:hAnsi="Verdana"/>
          <w:sz w:val="18"/>
          <w:szCs w:val="18"/>
        </w:rPr>
        <w:t>legal environment</w:t>
      </w:r>
      <w:r>
        <w:rPr>
          <w:rFonts w:ascii="Verdana" w:eastAsia="Verdana" w:hAnsi="Verdana"/>
          <w:sz w:val="18"/>
          <w:szCs w:val="18"/>
        </w:rPr>
        <w:t xml:space="preserve"> </w:t>
      </w:r>
      <w:r w:rsidR="00A7721D">
        <w:rPr>
          <w:rFonts w:ascii="Verdana" w:eastAsia="Verdana" w:hAnsi="Verdana"/>
          <w:sz w:val="18"/>
          <w:szCs w:val="18"/>
        </w:rPr>
        <w:t>or</w:t>
      </w:r>
      <w:r>
        <w:rPr>
          <w:rFonts w:ascii="Verdana" w:eastAsia="Verdana" w:hAnsi="Verdana"/>
          <w:sz w:val="18"/>
          <w:szCs w:val="18"/>
        </w:rPr>
        <w:t xml:space="preserve"> funding sources</w:t>
      </w:r>
      <w:r w:rsidRPr="00BA6B4E">
        <w:rPr>
          <w:rFonts w:ascii="Verdana" w:eastAsia="Verdana" w:hAnsi="Verdana"/>
          <w:sz w:val="18"/>
          <w:szCs w:val="18"/>
        </w:rPr>
        <w:t>. Effective collaboration between all parties is needed to ensure early identification of registries</w:t>
      </w:r>
      <w:r w:rsidR="00A70F5A">
        <w:rPr>
          <w:rFonts w:ascii="Verdana" w:eastAsia="Verdana" w:hAnsi="Verdana"/>
          <w:sz w:val="18"/>
          <w:szCs w:val="18"/>
        </w:rPr>
        <w:t xml:space="preserve"> relevant for a regulatory procedure</w:t>
      </w:r>
      <w:r w:rsidRPr="00BA6B4E">
        <w:rPr>
          <w:rFonts w:ascii="Verdana" w:eastAsia="Verdana" w:hAnsi="Verdana"/>
          <w:sz w:val="18"/>
          <w:szCs w:val="18"/>
        </w:rPr>
        <w:t xml:space="preserve"> and evaluation of the adequacy and quality of the data collected. A number of activities that may be performed by registries, MAH</w:t>
      </w:r>
      <w:r w:rsidR="00CB63E2">
        <w:rPr>
          <w:rFonts w:ascii="Verdana" w:eastAsia="Verdana" w:hAnsi="Verdana"/>
          <w:sz w:val="18"/>
          <w:szCs w:val="18"/>
        </w:rPr>
        <w:t>s</w:t>
      </w:r>
      <w:r w:rsidRPr="00BA6B4E">
        <w:rPr>
          <w:rFonts w:ascii="Verdana" w:eastAsia="Verdana" w:hAnsi="Verdana"/>
          <w:sz w:val="18"/>
          <w:szCs w:val="18"/>
        </w:rPr>
        <w:t xml:space="preserve"> and regulators are proposed to strengthen the use of registry data. </w:t>
      </w:r>
      <w:r w:rsidR="009E46E2">
        <w:rPr>
          <w:rFonts w:ascii="Verdana" w:eastAsia="Verdana" w:hAnsi="Verdana"/>
          <w:sz w:val="18"/>
          <w:szCs w:val="18"/>
        </w:rPr>
        <w:t>Amongst them</w:t>
      </w:r>
      <w:r w:rsidRPr="00BA6B4E">
        <w:rPr>
          <w:rFonts w:ascii="Verdana" w:eastAsia="Verdana" w:hAnsi="Verdana"/>
          <w:sz w:val="18"/>
          <w:szCs w:val="18"/>
        </w:rPr>
        <w:t xml:space="preserve"> is the agreement on principles of data sharing </w:t>
      </w:r>
      <w:r w:rsidR="000A0973">
        <w:rPr>
          <w:rFonts w:ascii="Verdana" w:eastAsia="Verdana" w:hAnsi="Verdana"/>
          <w:sz w:val="18"/>
          <w:szCs w:val="18"/>
        </w:rPr>
        <w:t xml:space="preserve">between registries, </w:t>
      </w:r>
      <w:r w:rsidRPr="00BA6B4E">
        <w:rPr>
          <w:rFonts w:ascii="Verdana" w:eastAsia="Verdana" w:hAnsi="Verdana"/>
          <w:bCs/>
          <w:sz w:val="18"/>
          <w:szCs w:val="18"/>
        </w:rPr>
        <w:t xml:space="preserve">MAAs/MAHs and regulators. Principles of data ownership, informed consent and data security </w:t>
      </w:r>
      <w:r w:rsidR="00B57DF2">
        <w:rPr>
          <w:rFonts w:ascii="Verdana" w:eastAsia="Verdana" w:hAnsi="Verdana"/>
          <w:bCs/>
          <w:sz w:val="18"/>
          <w:szCs w:val="18"/>
        </w:rPr>
        <w:t xml:space="preserve">should be applied in accordance with </w:t>
      </w:r>
      <w:r w:rsidRPr="00BA6B4E">
        <w:rPr>
          <w:rFonts w:ascii="Verdana" w:eastAsia="Verdana" w:hAnsi="Verdana"/>
          <w:bCs/>
          <w:sz w:val="18"/>
          <w:szCs w:val="18"/>
        </w:rPr>
        <w:t>the General Data Protection Regulation (GDPR).</w:t>
      </w:r>
    </w:p>
    <w:p w:rsidR="004238DD" w:rsidRPr="0088373E" w:rsidRDefault="00D64049" w:rsidP="004238DD">
      <w:pPr>
        <w:spacing w:after="140" w:line="280" w:lineRule="exact"/>
      </w:pPr>
      <w:r w:rsidRPr="0088373E">
        <w:t xml:space="preserve">For </w:t>
      </w:r>
      <w:r w:rsidRPr="005251F6">
        <w:rPr>
          <w:b/>
        </w:rPr>
        <w:t>registry studies</w:t>
      </w:r>
      <w:r w:rsidRPr="005251F6">
        <w:t xml:space="preserve">, the </w:t>
      </w:r>
      <w:r w:rsidR="00CB63E2">
        <w:t xml:space="preserve">following </w:t>
      </w:r>
      <w:r w:rsidR="00CB63E2" w:rsidRPr="005251F6">
        <w:t>aspects</w:t>
      </w:r>
      <w:r w:rsidR="00CB63E2">
        <w:t xml:space="preserve"> are </w:t>
      </w:r>
      <w:r w:rsidR="00902F75">
        <w:t xml:space="preserve">particularly </w:t>
      </w:r>
      <w:r w:rsidRPr="0088373E">
        <w:t>relevant</w:t>
      </w:r>
      <w:r w:rsidR="00CB63E2">
        <w:t>:</w:t>
      </w:r>
      <w:r w:rsidR="00CB63E2" w:rsidRPr="0088373E">
        <w:t xml:space="preserve"> </w:t>
      </w:r>
    </w:p>
    <w:p w:rsidR="004238DD" w:rsidRPr="00BA6B4E" w:rsidRDefault="00D64049" w:rsidP="004238DD">
      <w:pPr>
        <w:pStyle w:val="Listenabsatz"/>
        <w:numPr>
          <w:ilvl w:val="0"/>
          <w:numId w:val="33"/>
        </w:numPr>
        <w:spacing w:after="140" w:line="280" w:lineRule="exact"/>
        <w:rPr>
          <w:rFonts w:ascii="Verdana" w:hAnsi="Verdana"/>
          <w:sz w:val="18"/>
          <w:szCs w:val="18"/>
        </w:rPr>
      </w:pPr>
      <w:r w:rsidRPr="00BA6B4E">
        <w:rPr>
          <w:rFonts w:ascii="Verdana" w:hAnsi="Verdana"/>
          <w:i/>
          <w:sz w:val="18"/>
          <w:szCs w:val="18"/>
        </w:rPr>
        <w:t>Regulatory context</w:t>
      </w:r>
      <w:r w:rsidRPr="00BA6B4E">
        <w:rPr>
          <w:rFonts w:ascii="Verdana" w:hAnsi="Verdana"/>
          <w:sz w:val="18"/>
          <w:szCs w:val="18"/>
        </w:rPr>
        <w:t>: post-authorisation safety (PASS) and efficacy (PAES) studies may be required by regulators to MAHs. For studies imposed as a legal obligation, the MAH holds the responsibility for their supervision, including the obligations to monitor the data generated, to consider its implications for the benefit</w:t>
      </w:r>
      <w:r w:rsidR="00210DD8">
        <w:rPr>
          <w:rFonts w:ascii="Verdana" w:hAnsi="Verdana"/>
          <w:sz w:val="18"/>
          <w:szCs w:val="18"/>
        </w:rPr>
        <w:t>-risk</w:t>
      </w:r>
      <w:r w:rsidRPr="00BA6B4E">
        <w:rPr>
          <w:rFonts w:ascii="Verdana" w:hAnsi="Verdana"/>
          <w:sz w:val="18"/>
          <w:szCs w:val="18"/>
        </w:rPr>
        <w:t xml:space="preserve"> balance of the medicinal product and to communicate to authorities any new information which might influence this balance. The</w:t>
      </w:r>
      <w:r w:rsidRPr="00BA6B4E">
        <w:rPr>
          <w:rFonts w:ascii="Verdana" w:hAnsi="Verdana" w:cs="Verdana"/>
          <w:color w:val="000000"/>
          <w:sz w:val="18"/>
          <w:szCs w:val="18"/>
          <w:lang w:val="en-US"/>
        </w:rPr>
        <w:t xml:space="preserve"> MAH must also ensure that the fulfilment of these obligations can be audited, inspected and verified, and register the study in a public database. These legal constraints should be </w:t>
      </w:r>
      <w:r w:rsidR="00883D4B" w:rsidRPr="00BA6B4E">
        <w:rPr>
          <w:rFonts w:ascii="Verdana" w:hAnsi="Verdana" w:cs="Verdana"/>
          <w:color w:val="000000"/>
          <w:sz w:val="18"/>
          <w:szCs w:val="18"/>
          <w:lang w:val="en-US"/>
        </w:rPr>
        <w:t>taken into account</w:t>
      </w:r>
      <w:r w:rsidRPr="00BA6B4E">
        <w:rPr>
          <w:rFonts w:ascii="Verdana" w:hAnsi="Verdana" w:cs="Verdana"/>
          <w:color w:val="000000"/>
          <w:sz w:val="18"/>
          <w:szCs w:val="18"/>
          <w:lang w:val="en-US"/>
        </w:rPr>
        <w:t xml:space="preserve"> by registr</w:t>
      </w:r>
      <w:r w:rsidR="00883D4B" w:rsidRPr="00BA6B4E">
        <w:rPr>
          <w:rFonts w:ascii="Verdana" w:hAnsi="Verdana" w:cs="Verdana"/>
          <w:color w:val="000000"/>
          <w:sz w:val="18"/>
          <w:szCs w:val="18"/>
          <w:lang w:val="en-US"/>
        </w:rPr>
        <w:t>y coordinator</w:t>
      </w:r>
      <w:r w:rsidRPr="00BA6B4E">
        <w:rPr>
          <w:rFonts w:ascii="Verdana" w:hAnsi="Verdana" w:cs="Verdana"/>
          <w:color w:val="000000"/>
          <w:sz w:val="18"/>
          <w:szCs w:val="18"/>
          <w:lang w:val="en-US"/>
        </w:rPr>
        <w:t xml:space="preserve">s in their discussion with MAHs. </w:t>
      </w:r>
    </w:p>
    <w:p w:rsidR="004238DD" w:rsidRPr="002F0628" w:rsidRDefault="00D64049" w:rsidP="004238DD">
      <w:pPr>
        <w:pStyle w:val="Default"/>
        <w:numPr>
          <w:ilvl w:val="0"/>
          <w:numId w:val="33"/>
        </w:numPr>
        <w:spacing w:after="140" w:line="280" w:lineRule="exact"/>
        <w:ind w:left="357" w:hanging="357"/>
        <w:rPr>
          <w:rFonts w:eastAsia="Verdana"/>
          <w:bCs/>
          <w:sz w:val="18"/>
          <w:szCs w:val="18"/>
          <w:lang w:eastAsia="en-GB"/>
        </w:rPr>
      </w:pPr>
      <w:r w:rsidRPr="002F0628">
        <w:rPr>
          <w:i/>
          <w:sz w:val="18"/>
          <w:szCs w:val="18"/>
        </w:rPr>
        <w:t>Timelines</w:t>
      </w:r>
      <w:r w:rsidRPr="002F0628">
        <w:rPr>
          <w:sz w:val="18"/>
          <w:szCs w:val="18"/>
        </w:rPr>
        <w:t>: given the time needed to initiate a registry study,</w:t>
      </w:r>
      <w:r w:rsidRPr="002F0628">
        <w:rPr>
          <w:rFonts w:eastAsia="Verdana"/>
          <w:bCs/>
          <w:sz w:val="18"/>
          <w:szCs w:val="18"/>
          <w:lang w:eastAsia="en-GB"/>
        </w:rPr>
        <w:t xml:space="preserve"> preparations and discussions about use of a patient registry post-authorisation should start </w:t>
      </w:r>
      <w:r w:rsidR="005251F6">
        <w:rPr>
          <w:rFonts w:eastAsia="Verdana"/>
          <w:bCs/>
          <w:sz w:val="18"/>
          <w:szCs w:val="18"/>
          <w:lang w:eastAsia="en-GB"/>
        </w:rPr>
        <w:t xml:space="preserve">before –during scientific advice- or </w:t>
      </w:r>
      <w:r w:rsidRPr="002F0628">
        <w:rPr>
          <w:rFonts w:eastAsia="Verdana"/>
          <w:bCs/>
          <w:sz w:val="18"/>
          <w:szCs w:val="18"/>
          <w:lang w:eastAsia="en-GB"/>
        </w:rPr>
        <w:t>at a</w:t>
      </w:r>
      <w:r w:rsidR="005251F6">
        <w:rPr>
          <w:rFonts w:eastAsia="Verdana"/>
          <w:bCs/>
          <w:sz w:val="18"/>
          <w:szCs w:val="18"/>
          <w:lang w:eastAsia="en-GB"/>
        </w:rPr>
        <w:t>n</w:t>
      </w:r>
      <w:r w:rsidRPr="002F0628">
        <w:rPr>
          <w:rFonts w:eastAsia="Verdana"/>
          <w:bCs/>
          <w:sz w:val="18"/>
          <w:szCs w:val="18"/>
          <w:lang w:eastAsia="en-GB"/>
        </w:rPr>
        <w:t xml:space="preserve"> early stage of the approval </w:t>
      </w:r>
      <w:r>
        <w:rPr>
          <w:rFonts w:eastAsia="Verdana"/>
          <w:bCs/>
          <w:sz w:val="18"/>
          <w:szCs w:val="18"/>
          <w:lang w:eastAsia="en-GB"/>
        </w:rPr>
        <w:t xml:space="preserve">application process. </w:t>
      </w:r>
      <w:r w:rsidRPr="002F0628">
        <w:rPr>
          <w:rFonts w:eastAsia="Verdana"/>
          <w:bCs/>
          <w:sz w:val="18"/>
          <w:szCs w:val="18"/>
          <w:lang w:eastAsia="en-GB"/>
        </w:rPr>
        <w:t>It is recommended that such early discussions involve the MAH(s), regulators and registry coordinators.</w:t>
      </w:r>
      <w:r>
        <w:rPr>
          <w:rFonts w:eastAsia="Verdana"/>
          <w:bCs/>
          <w:sz w:val="18"/>
          <w:szCs w:val="18"/>
          <w:lang w:eastAsia="en-GB"/>
        </w:rPr>
        <w:t xml:space="preserve"> The study proposal </w:t>
      </w:r>
      <w:r w:rsidRPr="00D47613">
        <w:rPr>
          <w:rFonts w:eastAsia="Verdana"/>
          <w:bCs/>
          <w:sz w:val="18"/>
          <w:szCs w:val="18"/>
          <w:lang w:eastAsia="en-GB"/>
        </w:rPr>
        <w:t>s</w:t>
      </w:r>
      <w:r>
        <w:rPr>
          <w:rFonts w:eastAsia="Verdana"/>
          <w:bCs/>
          <w:sz w:val="18"/>
          <w:szCs w:val="18"/>
          <w:lang w:eastAsia="en-GB"/>
        </w:rPr>
        <w:t>hould be s</w:t>
      </w:r>
      <w:r w:rsidRPr="00D47613">
        <w:rPr>
          <w:rFonts w:eastAsia="Verdana"/>
          <w:bCs/>
          <w:sz w:val="18"/>
          <w:szCs w:val="18"/>
          <w:lang w:eastAsia="en-GB"/>
        </w:rPr>
        <w:t>ufficient</w:t>
      </w:r>
      <w:r w:rsidR="00883D4B">
        <w:rPr>
          <w:rFonts w:eastAsia="Verdana"/>
          <w:bCs/>
          <w:sz w:val="18"/>
          <w:szCs w:val="18"/>
          <w:lang w:eastAsia="en-GB"/>
        </w:rPr>
        <w:t>ly</w:t>
      </w:r>
      <w:r w:rsidRPr="00D47613">
        <w:rPr>
          <w:rFonts w:eastAsia="Verdana"/>
          <w:bCs/>
          <w:sz w:val="18"/>
          <w:szCs w:val="18"/>
          <w:lang w:eastAsia="en-GB"/>
        </w:rPr>
        <w:t xml:space="preserve"> detail</w:t>
      </w:r>
      <w:r>
        <w:rPr>
          <w:rFonts w:eastAsia="Verdana"/>
          <w:bCs/>
          <w:sz w:val="18"/>
          <w:szCs w:val="18"/>
          <w:lang w:eastAsia="en-GB"/>
        </w:rPr>
        <w:t>ed</w:t>
      </w:r>
      <w:r w:rsidRPr="00D47613">
        <w:rPr>
          <w:rFonts w:eastAsia="Verdana"/>
          <w:bCs/>
          <w:sz w:val="18"/>
          <w:szCs w:val="18"/>
          <w:lang w:eastAsia="en-GB"/>
        </w:rPr>
        <w:t xml:space="preserve"> </w:t>
      </w:r>
      <w:r w:rsidR="00883D4B">
        <w:rPr>
          <w:rFonts w:eastAsia="Verdana"/>
          <w:bCs/>
          <w:sz w:val="18"/>
          <w:szCs w:val="18"/>
          <w:lang w:eastAsia="en-GB"/>
        </w:rPr>
        <w:t>to</w:t>
      </w:r>
      <w:r>
        <w:rPr>
          <w:rFonts w:eastAsia="Verdana"/>
          <w:bCs/>
          <w:sz w:val="18"/>
          <w:szCs w:val="18"/>
          <w:lang w:eastAsia="en-GB"/>
        </w:rPr>
        <w:t xml:space="preserve"> be used by registries and individual centres </w:t>
      </w:r>
      <w:r w:rsidRPr="00D47613">
        <w:rPr>
          <w:rFonts w:eastAsia="Verdana"/>
          <w:bCs/>
          <w:sz w:val="18"/>
          <w:szCs w:val="18"/>
          <w:lang w:eastAsia="en-GB"/>
        </w:rPr>
        <w:t xml:space="preserve">to assess whether they can participate </w:t>
      </w:r>
      <w:r>
        <w:rPr>
          <w:rFonts w:eastAsia="Verdana"/>
          <w:bCs/>
          <w:sz w:val="18"/>
          <w:szCs w:val="18"/>
          <w:lang w:eastAsia="en-GB"/>
        </w:rPr>
        <w:t xml:space="preserve">in the study </w:t>
      </w:r>
      <w:r w:rsidRPr="00D47613">
        <w:rPr>
          <w:rFonts w:eastAsia="Verdana"/>
          <w:bCs/>
          <w:sz w:val="18"/>
          <w:szCs w:val="18"/>
          <w:lang w:eastAsia="en-GB"/>
        </w:rPr>
        <w:t xml:space="preserve">in terms of data availability and </w:t>
      </w:r>
      <w:r w:rsidR="005F5253">
        <w:rPr>
          <w:rFonts w:eastAsia="Verdana"/>
          <w:bCs/>
          <w:sz w:val="18"/>
          <w:szCs w:val="18"/>
          <w:lang w:eastAsia="en-GB"/>
        </w:rPr>
        <w:t>data</w:t>
      </w:r>
      <w:r>
        <w:rPr>
          <w:rFonts w:eastAsia="Verdana"/>
          <w:bCs/>
          <w:sz w:val="18"/>
          <w:szCs w:val="18"/>
          <w:lang w:eastAsia="en-GB"/>
        </w:rPr>
        <w:t xml:space="preserve"> quality </w:t>
      </w:r>
      <w:r w:rsidR="005F5253">
        <w:rPr>
          <w:rFonts w:eastAsia="Verdana"/>
          <w:bCs/>
          <w:sz w:val="18"/>
          <w:szCs w:val="18"/>
          <w:lang w:eastAsia="en-GB"/>
        </w:rPr>
        <w:t>requirements</w:t>
      </w:r>
      <w:r>
        <w:rPr>
          <w:rFonts w:eastAsia="Verdana"/>
          <w:bCs/>
          <w:sz w:val="18"/>
          <w:szCs w:val="18"/>
          <w:lang w:eastAsia="en-GB"/>
        </w:rPr>
        <w:t>.</w:t>
      </w:r>
    </w:p>
    <w:p w:rsidR="004238DD" w:rsidRDefault="00D64049" w:rsidP="004238DD">
      <w:pPr>
        <w:pStyle w:val="Default"/>
        <w:numPr>
          <w:ilvl w:val="0"/>
          <w:numId w:val="33"/>
        </w:numPr>
        <w:spacing w:after="140" w:line="280" w:lineRule="exact"/>
        <w:ind w:left="357" w:hanging="357"/>
        <w:rPr>
          <w:sz w:val="18"/>
          <w:szCs w:val="18"/>
        </w:rPr>
      </w:pPr>
      <w:r w:rsidRPr="004269F6">
        <w:rPr>
          <w:i/>
          <w:sz w:val="18"/>
          <w:szCs w:val="18"/>
        </w:rPr>
        <w:t>Study protocol</w:t>
      </w:r>
      <w:r w:rsidRPr="004269F6">
        <w:rPr>
          <w:sz w:val="18"/>
          <w:szCs w:val="18"/>
        </w:rPr>
        <w:t xml:space="preserve">: </w:t>
      </w:r>
      <w:r w:rsidR="00883D4B">
        <w:rPr>
          <w:sz w:val="18"/>
          <w:szCs w:val="18"/>
        </w:rPr>
        <w:t xml:space="preserve">an </w:t>
      </w:r>
      <w:r w:rsidRPr="004269F6">
        <w:rPr>
          <w:sz w:val="18"/>
          <w:szCs w:val="18"/>
        </w:rPr>
        <w:t xml:space="preserve">early decision to be made is the choice of the data collection method: secondary data collection, where the data for the study are already available and extracted from a dataset, </w:t>
      </w:r>
      <w:r w:rsidR="00CB63E2">
        <w:rPr>
          <w:sz w:val="18"/>
          <w:szCs w:val="18"/>
        </w:rPr>
        <w:t>or</w:t>
      </w:r>
      <w:r w:rsidR="00CB63E2" w:rsidRPr="004269F6">
        <w:rPr>
          <w:sz w:val="18"/>
          <w:szCs w:val="18"/>
        </w:rPr>
        <w:t xml:space="preserve"> </w:t>
      </w:r>
      <w:r w:rsidRPr="004269F6">
        <w:rPr>
          <w:sz w:val="18"/>
          <w:szCs w:val="18"/>
        </w:rPr>
        <w:t>primary data collection, where the events of interest for the study are</w:t>
      </w:r>
      <w:r>
        <w:rPr>
          <w:sz w:val="18"/>
          <w:szCs w:val="18"/>
        </w:rPr>
        <w:t xml:space="preserve"> collected directly </w:t>
      </w:r>
      <w:r>
        <w:rPr>
          <w:sz w:val="18"/>
          <w:szCs w:val="18"/>
        </w:rPr>
        <w:lastRenderedPageBreak/>
        <w:t>from patients as they come to the attention of the investigator</w:t>
      </w:r>
      <w:r w:rsidRPr="002132C3">
        <w:rPr>
          <w:sz w:val="18"/>
          <w:szCs w:val="18"/>
        </w:rPr>
        <w:t>.</w:t>
      </w:r>
      <w:r>
        <w:rPr>
          <w:sz w:val="18"/>
          <w:szCs w:val="18"/>
        </w:rPr>
        <w:t xml:space="preserve"> This choice has implications </w:t>
      </w:r>
      <w:r w:rsidR="005251F6">
        <w:rPr>
          <w:sz w:val="18"/>
          <w:szCs w:val="18"/>
        </w:rPr>
        <w:t>for</w:t>
      </w:r>
      <w:r>
        <w:rPr>
          <w:sz w:val="18"/>
          <w:szCs w:val="18"/>
        </w:rPr>
        <w:t xml:space="preserve"> safety reporting and should be clearly specified in the study protocol. </w:t>
      </w:r>
    </w:p>
    <w:p w:rsidR="004238DD" w:rsidRDefault="00D64049" w:rsidP="004238DD">
      <w:pPr>
        <w:pStyle w:val="Default"/>
        <w:spacing w:after="140" w:line="280" w:lineRule="exact"/>
        <w:ind w:left="357"/>
        <w:rPr>
          <w:sz w:val="18"/>
          <w:szCs w:val="18"/>
        </w:rPr>
      </w:pPr>
      <w:r w:rsidRPr="002830C0">
        <w:rPr>
          <w:sz w:val="18"/>
          <w:szCs w:val="18"/>
        </w:rPr>
        <w:t xml:space="preserve">The study protocol should follow the recommendations of the </w:t>
      </w:r>
      <w:r>
        <w:rPr>
          <w:sz w:val="18"/>
          <w:szCs w:val="18"/>
        </w:rPr>
        <w:t>Good pharmacovigilance practice (</w:t>
      </w:r>
      <w:r w:rsidRPr="002830C0">
        <w:rPr>
          <w:sz w:val="18"/>
          <w:szCs w:val="18"/>
        </w:rPr>
        <w:t>GVP</w:t>
      </w:r>
      <w:r>
        <w:rPr>
          <w:sz w:val="18"/>
          <w:szCs w:val="18"/>
        </w:rPr>
        <w:t>)</w:t>
      </w:r>
      <w:r w:rsidRPr="002830C0">
        <w:rPr>
          <w:sz w:val="18"/>
          <w:szCs w:val="18"/>
        </w:rPr>
        <w:t xml:space="preserve"> Module VIII and the technical guidance on the format and content of the protocol for non-interventional </w:t>
      </w:r>
      <w:r w:rsidR="000A0973">
        <w:rPr>
          <w:sz w:val="18"/>
          <w:szCs w:val="18"/>
        </w:rPr>
        <w:t>PASS</w:t>
      </w:r>
      <w:r>
        <w:rPr>
          <w:sz w:val="18"/>
          <w:szCs w:val="18"/>
        </w:rPr>
        <w:t xml:space="preserve">. </w:t>
      </w:r>
      <w:r w:rsidRPr="002830C0">
        <w:rPr>
          <w:sz w:val="18"/>
          <w:szCs w:val="18"/>
        </w:rPr>
        <w:t>For</w:t>
      </w:r>
      <w:r w:rsidRPr="00C114D3">
        <w:rPr>
          <w:sz w:val="18"/>
          <w:szCs w:val="18"/>
        </w:rPr>
        <w:t xml:space="preserve"> studies addressing </w:t>
      </w:r>
      <w:r>
        <w:rPr>
          <w:sz w:val="18"/>
          <w:szCs w:val="18"/>
        </w:rPr>
        <w:t>several</w:t>
      </w:r>
      <w:r w:rsidRPr="00C114D3">
        <w:rPr>
          <w:sz w:val="18"/>
          <w:szCs w:val="18"/>
        </w:rPr>
        <w:t xml:space="preserve"> products</w:t>
      </w:r>
      <w:r w:rsidR="00CB63E2">
        <w:rPr>
          <w:sz w:val="18"/>
          <w:szCs w:val="18"/>
        </w:rPr>
        <w:t>,</w:t>
      </w:r>
      <w:r w:rsidRPr="00C114D3">
        <w:rPr>
          <w:sz w:val="18"/>
          <w:szCs w:val="18"/>
        </w:rPr>
        <w:t xml:space="preserve"> all concerned MAHs </w:t>
      </w:r>
      <w:r>
        <w:rPr>
          <w:sz w:val="18"/>
          <w:szCs w:val="18"/>
        </w:rPr>
        <w:t>should</w:t>
      </w:r>
      <w:r w:rsidRPr="00C114D3">
        <w:rPr>
          <w:sz w:val="18"/>
          <w:szCs w:val="18"/>
        </w:rPr>
        <w:t xml:space="preserve"> </w:t>
      </w:r>
      <w:r w:rsidR="005251F6">
        <w:rPr>
          <w:sz w:val="18"/>
          <w:szCs w:val="18"/>
        </w:rPr>
        <w:t>participate in</w:t>
      </w:r>
      <w:r w:rsidR="005251F6" w:rsidRPr="00C114D3">
        <w:rPr>
          <w:sz w:val="18"/>
          <w:szCs w:val="18"/>
        </w:rPr>
        <w:t xml:space="preserve"> </w:t>
      </w:r>
      <w:r w:rsidRPr="00C114D3">
        <w:rPr>
          <w:sz w:val="18"/>
          <w:szCs w:val="18"/>
        </w:rPr>
        <w:t xml:space="preserve">a joint registry study based on a single protocol. If a registry study is to be conducted across multiple </w:t>
      </w:r>
      <w:r w:rsidR="000C05BA">
        <w:rPr>
          <w:sz w:val="18"/>
          <w:szCs w:val="18"/>
        </w:rPr>
        <w:t>sites</w:t>
      </w:r>
      <w:r w:rsidRPr="00C114D3">
        <w:rPr>
          <w:sz w:val="18"/>
          <w:szCs w:val="18"/>
        </w:rPr>
        <w:t>, a common protocol needs to be developed based on core common data elements and common design even if some aspects of the study may vary according to the characteristics of each registry.</w:t>
      </w:r>
    </w:p>
    <w:p w:rsidR="004238DD" w:rsidRDefault="00D64049" w:rsidP="004238DD">
      <w:pPr>
        <w:pStyle w:val="Default"/>
        <w:spacing w:after="140" w:line="280" w:lineRule="exact"/>
        <w:ind w:left="357"/>
        <w:rPr>
          <w:sz w:val="18"/>
          <w:szCs w:val="18"/>
        </w:rPr>
      </w:pPr>
      <w:r w:rsidRPr="002830C0">
        <w:rPr>
          <w:sz w:val="18"/>
          <w:szCs w:val="18"/>
        </w:rPr>
        <w:t xml:space="preserve">The protocol should provide an estimation of the study size </w:t>
      </w:r>
      <w:r w:rsidR="002732E2">
        <w:rPr>
          <w:sz w:val="18"/>
          <w:szCs w:val="18"/>
        </w:rPr>
        <w:t>and the</w:t>
      </w:r>
      <w:r w:rsidRPr="002830C0">
        <w:rPr>
          <w:sz w:val="18"/>
          <w:szCs w:val="18"/>
        </w:rPr>
        <w:t xml:space="preserve"> feasibility of attaining this sample size within the registry should be assessed using conservative assumptions (or a previous feasibility analysis), both in terms of number of patients and duration of follow-up</w:t>
      </w:r>
      <w:r>
        <w:rPr>
          <w:sz w:val="18"/>
          <w:szCs w:val="18"/>
        </w:rPr>
        <w:t>. Milestones and timelines for completing the main study phases should be provided.</w:t>
      </w:r>
    </w:p>
    <w:p w:rsidR="004238DD" w:rsidRPr="00150F6F" w:rsidRDefault="00D64049" w:rsidP="00A14372">
      <w:pPr>
        <w:pStyle w:val="Default"/>
        <w:numPr>
          <w:ilvl w:val="0"/>
          <w:numId w:val="33"/>
        </w:numPr>
        <w:spacing w:after="140" w:line="280" w:lineRule="exact"/>
        <w:rPr>
          <w:sz w:val="18"/>
          <w:szCs w:val="18"/>
        </w:rPr>
      </w:pPr>
      <w:r w:rsidRPr="00150F6F">
        <w:rPr>
          <w:i/>
          <w:sz w:val="18"/>
          <w:szCs w:val="18"/>
        </w:rPr>
        <w:t>Study population</w:t>
      </w:r>
      <w:r w:rsidRPr="00150F6F">
        <w:rPr>
          <w:sz w:val="18"/>
          <w:szCs w:val="18"/>
        </w:rPr>
        <w:t xml:space="preserve">: </w:t>
      </w:r>
      <w:r w:rsidR="00883D4B">
        <w:rPr>
          <w:sz w:val="18"/>
          <w:szCs w:val="18"/>
        </w:rPr>
        <w:t>where study data are</w:t>
      </w:r>
      <w:r w:rsidRPr="00150F6F">
        <w:rPr>
          <w:sz w:val="18"/>
          <w:szCs w:val="18"/>
        </w:rPr>
        <w:t xml:space="preserve"> extract</w:t>
      </w:r>
      <w:r w:rsidR="00883D4B">
        <w:rPr>
          <w:sz w:val="18"/>
          <w:szCs w:val="18"/>
        </w:rPr>
        <w:t>ed from</w:t>
      </w:r>
      <w:r w:rsidRPr="00150F6F">
        <w:rPr>
          <w:sz w:val="18"/>
          <w:szCs w:val="18"/>
        </w:rPr>
        <w:t xml:space="preserve"> data already collected routinely in the registry</w:t>
      </w:r>
      <w:r w:rsidR="00883D4B">
        <w:rPr>
          <w:sz w:val="18"/>
          <w:szCs w:val="18"/>
        </w:rPr>
        <w:t xml:space="preserve">, </w:t>
      </w:r>
      <w:r w:rsidRPr="00150F6F">
        <w:rPr>
          <w:sz w:val="18"/>
          <w:szCs w:val="18"/>
        </w:rPr>
        <w:t xml:space="preserve">methodological challenges to </w:t>
      </w:r>
      <w:r w:rsidR="00883D4B">
        <w:rPr>
          <w:sz w:val="18"/>
          <w:szCs w:val="18"/>
        </w:rPr>
        <w:t xml:space="preserve">define the study population </w:t>
      </w:r>
      <w:r w:rsidRPr="00150F6F">
        <w:rPr>
          <w:sz w:val="18"/>
          <w:szCs w:val="18"/>
        </w:rPr>
        <w:t xml:space="preserve">are comparable to those met in </w:t>
      </w:r>
      <w:r w:rsidR="00E61725">
        <w:rPr>
          <w:sz w:val="18"/>
          <w:szCs w:val="18"/>
        </w:rPr>
        <w:t>secondary data collection</w:t>
      </w:r>
      <w:r w:rsidRPr="00150F6F">
        <w:rPr>
          <w:sz w:val="18"/>
          <w:szCs w:val="18"/>
        </w:rPr>
        <w:t xml:space="preserve">. When the safety or effectiveness of a new treatment need to be monitored in a disease registry, the study population will most often </w:t>
      </w:r>
      <w:r w:rsidR="00A14372">
        <w:rPr>
          <w:sz w:val="18"/>
          <w:szCs w:val="18"/>
        </w:rPr>
        <w:t>include new users who are</w:t>
      </w:r>
      <w:r w:rsidRPr="00150F6F">
        <w:rPr>
          <w:sz w:val="18"/>
          <w:szCs w:val="18"/>
        </w:rPr>
        <w:t xml:space="preserve"> either patients </w:t>
      </w:r>
      <w:r w:rsidR="00E05CD3">
        <w:rPr>
          <w:sz w:val="18"/>
          <w:szCs w:val="18"/>
        </w:rPr>
        <w:t>newly diagnosed with</w:t>
      </w:r>
      <w:r w:rsidRPr="00150F6F">
        <w:rPr>
          <w:sz w:val="18"/>
          <w:szCs w:val="18"/>
        </w:rPr>
        <w:t xml:space="preserve"> the disease and </w:t>
      </w:r>
      <w:r w:rsidR="00C10871">
        <w:rPr>
          <w:sz w:val="18"/>
          <w:szCs w:val="18"/>
        </w:rPr>
        <w:t xml:space="preserve">who </w:t>
      </w:r>
      <w:r w:rsidR="00CA5D54">
        <w:rPr>
          <w:sz w:val="18"/>
          <w:szCs w:val="18"/>
        </w:rPr>
        <w:t>receiv</w:t>
      </w:r>
      <w:r w:rsidR="00C10871">
        <w:rPr>
          <w:sz w:val="18"/>
          <w:szCs w:val="18"/>
        </w:rPr>
        <w:t>ed</w:t>
      </w:r>
      <w:r w:rsidR="00CA5D54">
        <w:rPr>
          <w:sz w:val="18"/>
          <w:szCs w:val="18"/>
        </w:rPr>
        <w:t xml:space="preserve"> </w:t>
      </w:r>
      <w:r w:rsidRPr="00150F6F">
        <w:rPr>
          <w:sz w:val="18"/>
          <w:szCs w:val="18"/>
        </w:rPr>
        <w:t>a first prescription (incident patients) or patients already included in the registry to whom the new treatment is prescribed</w:t>
      </w:r>
      <w:r w:rsidR="008A63A3">
        <w:rPr>
          <w:sz w:val="18"/>
          <w:szCs w:val="18"/>
        </w:rPr>
        <w:t xml:space="preserve"> </w:t>
      </w:r>
      <w:r w:rsidR="008A63A3" w:rsidRPr="008A63A3">
        <w:rPr>
          <w:sz w:val="18"/>
          <w:szCs w:val="18"/>
        </w:rPr>
        <w:t>(prevalent patients</w:t>
      </w:r>
      <w:r w:rsidR="008A63A3">
        <w:rPr>
          <w:sz w:val="18"/>
          <w:szCs w:val="18"/>
        </w:rPr>
        <w:t xml:space="preserve">). </w:t>
      </w:r>
      <w:r w:rsidRPr="00150F6F">
        <w:rPr>
          <w:sz w:val="18"/>
          <w:szCs w:val="18"/>
        </w:rPr>
        <w:t xml:space="preserve">The choice of including incident or prevalent patients in the study population has implications for the data analysis and the interpretation of the results. It </w:t>
      </w:r>
      <w:r w:rsidR="00E05CD3">
        <w:rPr>
          <w:sz w:val="18"/>
          <w:szCs w:val="18"/>
        </w:rPr>
        <w:t>is recommended to</w:t>
      </w:r>
      <w:r w:rsidRPr="00150F6F">
        <w:rPr>
          <w:sz w:val="18"/>
          <w:szCs w:val="18"/>
        </w:rPr>
        <w:t xml:space="preserve"> collect the data needed to distinguish incident and prevalent patients and identify possible differences in their characteristics. </w:t>
      </w:r>
      <w:r w:rsidR="00B33C1C">
        <w:rPr>
          <w:sz w:val="18"/>
          <w:szCs w:val="18"/>
        </w:rPr>
        <w:t>In case of prospective recruitment</w:t>
      </w:r>
      <w:r w:rsidR="00B33C1C" w:rsidRPr="00150F6F">
        <w:rPr>
          <w:sz w:val="18"/>
          <w:szCs w:val="18"/>
        </w:rPr>
        <w:t>, it is critical that procedures are in place to ensure sequential inclusion of all eligible patients treated</w:t>
      </w:r>
      <w:r w:rsidR="00B33C1C">
        <w:rPr>
          <w:sz w:val="18"/>
          <w:szCs w:val="18"/>
        </w:rPr>
        <w:t xml:space="preserve"> </w:t>
      </w:r>
      <w:r w:rsidR="00B33C1C" w:rsidRPr="008A63A3">
        <w:rPr>
          <w:sz w:val="18"/>
          <w:szCs w:val="18"/>
        </w:rPr>
        <w:t>in the individual centres</w:t>
      </w:r>
      <w:r w:rsidR="00B33C1C">
        <w:rPr>
          <w:sz w:val="18"/>
          <w:szCs w:val="18"/>
        </w:rPr>
        <w:t xml:space="preserve">. Patients </w:t>
      </w:r>
      <w:r w:rsidR="00B33C1C" w:rsidRPr="0054428A">
        <w:rPr>
          <w:sz w:val="18"/>
          <w:szCs w:val="18"/>
        </w:rPr>
        <w:t>having been in</w:t>
      </w:r>
      <w:r w:rsidR="00B33C1C">
        <w:rPr>
          <w:sz w:val="18"/>
          <w:szCs w:val="18"/>
        </w:rPr>
        <w:t>volved in clinical trials, often representing a subgroup with certain disease characteristics (e.g. genetic variants), could also be enrolled in a disease registry later on.</w:t>
      </w:r>
    </w:p>
    <w:p w:rsidR="004238DD" w:rsidRPr="00150F6F" w:rsidRDefault="00D64049" w:rsidP="004238DD">
      <w:pPr>
        <w:pStyle w:val="Default"/>
        <w:numPr>
          <w:ilvl w:val="0"/>
          <w:numId w:val="33"/>
        </w:numPr>
        <w:spacing w:after="140" w:line="280" w:lineRule="exact"/>
        <w:ind w:left="357" w:hanging="357"/>
        <w:rPr>
          <w:i/>
          <w:sz w:val="18"/>
          <w:szCs w:val="18"/>
        </w:rPr>
      </w:pPr>
      <w:r w:rsidRPr="00150F6F">
        <w:rPr>
          <w:i/>
          <w:sz w:val="18"/>
          <w:szCs w:val="18"/>
        </w:rPr>
        <w:t>Data collection</w:t>
      </w:r>
      <w:r w:rsidRPr="00150F6F">
        <w:rPr>
          <w:sz w:val="18"/>
          <w:szCs w:val="18"/>
        </w:rPr>
        <w:t xml:space="preserve">: </w:t>
      </w:r>
      <w:r>
        <w:rPr>
          <w:sz w:val="18"/>
          <w:szCs w:val="18"/>
        </w:rPr>
        <w:t>i</w:t>
      </w:r>
      <w:r w:rsidRPr="00150F6F">
        <w:rPr>
          <w:sz w:val="18"/>
          <w:szCs w:val="18"/>
        </w:rPr>
        <w:t>t is the investigators’ responsibility to collect for the study only the sets of data that are strictly needed to provide valid results. It is also their responsibility to collect all the data needed for this purpose including available data on potential confounders. Data to be collected include those needed for sensitivity analyses</w:t>
      </w:r>
      <w:r w:rsidR="006B4259">
        <w:rPr>
          <w:sz w:val="18"/>
          <w:szCs w:val="18"/>
        </w:rPr>
        <w:t xml:space="preserve"> as outlined in the study protocol and statistical </w:t>
      </w:r>
      <w:r w:rsidR="00FB5D7B">
        <w:rPr>
          <w:sz w:val="18"/>
          <w:szCs w:val="18"/>
        </w:rPr>
        <w:t xml:space="preserve">analysis </w:t>
      </w:r>
      <w:r w:rsidR="006B4259">
        <w:rPr>
          <w:sz w:val="18"/>
          <w:szCs w:val="18"/>
        </w:rPr>
        <w:t>plan (SAP)</w:t>
      </w:r>
      <w:r w:rsidRPr="00150F6F">
        <w:rPr>
          <w:sz w:val="18"/>
          <w:szCs w:val="18"/>
        </w:rPr>
        <w:t xml:space="preserve">. The legal status of a study with additional data collection should also be considered. Additional data collection </w:t>
      </w:r>
      <w:r w:rsidR="006B4259">
        <w:rPr>
          <w:sz w:val="18"/>
          <w:szCs w:val="18"/>
        </w:rPr>
        <w:t xml:space="preserve">may turn it into an interventional study and </w:t>
      </w:r>
      <w:r w:rsidR="00AB73DB">
        <w:rPr>
          <w:sz w:val="18"/>
          <w:szCs w:val="18"/>
        </w:rPr>
        <w:t xml:space="preserve">its relation to current clinical practice </w:t>
      </w:r>
      <w:r>
        <w:rPr>
          <w:sz w:val="18"/>
          <w:szCs w:val="18"/>
        </w:rPr>
        <w:t>needs</w:t>
      </w:r>
      <w:r w:rsidRPr="00150F6F">
        <w:rPr>
          <w:sz w:val="18"/>
          <w:szCs w:val="18"/>
        </w:rPr>
        <w:t xml:space="preserve"> to be detailed in the study protocol</w:t>
      </w:r>
      <w:r w:rsidR="00AB73DB">
        <w:rPr>
          <w:sz w:val="18"/>
          <w:szCs w:val="18"/>
        </w:rPr>
        <w:t>.</w:t>
      </w:r>
    </w:p>
    <w:p w:rsidR="004238DD" w:rsidRPr="00150F6F" w:rsidRDefault="00D64049" w:rsidP="004D5CF1">
      <w:pPr>
        <w:pStyle w:val="Default"/>
        <w:numPr>
          <w:ilvl w:val="0"/>
          <w:numId w:val="33"/>
        </w:numPr>
        <w:spacing w:after="140" w:line="280" w:lineRule="exact"/>
        <w:rPr>
          <w:i/>
          <w:sz w:val="18"/>
          <w:szCs w:val="18"/>
        </w:rPr>
      </w:pPr>
      <w:r w:rsidRPr="00150F6F">
        <w:rPr>
          <w:i/>
          <w:sz w:val="18"/>
          <w:szCs w:val="18"/>
        </w:rPr>
        <w:t>Data quality</w:t>
      </w:r>
      <w:r w:rsidRPr="00150F6F">
        <w:rPr>
          <w:sz w:val="18"/>
          <w:szCs w:val="18"/>
        </w:rPr>
        <w:t xml:space="preserve">: </w:t>
      </w:r>
      <w:r>
        <w:rPr>
          <w:sz w:val="18"/>
          <w:szCs w:val="18"/>
        </w:rPr>
        <w:t>t</w:t>
      </w:r>
      <w:r w:rsidRPr="00150F6F">
        <w:rPr>
          <w:sz w:val="18"/>
          <w:szCs w:val="18"/>
        </w:rPr>
        <w:t>he need for additional measure</w:t>
      </w:r>
      <w:r w:rsidR="006B4259">
        <w:rPr>
          <w:sz w:val="18"/>
          <w:szCs w:val="18"/>
        </w:rPr>
        <w:t>s</w:t>
      </w:r>
      <w:r w:rsidRPr="00150F6F">
        <w:rPr>
          <w:sz w:val="18"/>
          <w:szCs w:val="18"/>
        </w:rPr>
        <w:t xml:space="preserve"> for data quality control in a registry study depends on the measures </w:t>
      </w:r>
      <w:r w:rsidR="005B7E27">
        <w:rPr>
          <w:sz w:val="18"/>
          <w:szCs w:val="18"/>
        </w:rPr>
        <w:t xml:space="preserve">already </w:t>
      </w:r>
      <w:r w:rsidRPr="00150F6F">
        <w:rPr>
          <w:sz w:val="18"/>
          <w:szCs w:val="18"/>
        </w:rPr>
        <w:t xml:space="preserve">applied routinely in the registry. In order to ensure acceptable data quality for individual registry studies conducted for regulatory purposes, source data verification and periodic auditing on a reasonable amount of data may need to be conducted on a risk analysis-based approach and following a strategy dependent on the scope of the study. </w:t>
      </w:r>
      <w:r w:rsidR="00AB73DB">
        <w:rPr>
          <w:sz w:val="18"/>
          <w:szCs w:val="18"/>
        </w:rPr>
        <w:t>D</w:t>
      </w:r>
      <w:r w:rsidR="00AB73DB" w:rsidRPr="00150F6F">
        <w:rPr>
          <w:sz w:val="18"/>
          <w:szCs w:val="18"/>
        </w:rPr>
        <w:t xml:space="preserve">ata </w:t>
      </w:r>
      <w:r w:rsidRPr="00150F6F">
        <w:rPr>
          <w:sz w:val="18"/>
          <w:szCs w:val="18"/>
        </w:rPr>
        <w:t xml:space="preserve">source verification for a minimum of 10% of </w:t>
      </w:r>
      <w:r w:rsidR="00AB73DB">
        <w:rPr>
          <w:sz w:val="18"/>
          <w:szCs w:val="18"/>
        </w:rPr>
        <w:t xml:space="preserve">randomly selected </w:t>
      </w:r>
      <w:r w:rsidRPr="00150F6F">
        <w:rPr>
          <w:sz w:val="18"/>
          <w:szCs w:val="18"/>
        </w:rPr>
        <w:t xml:space="preserve">patients </w:t>
      </w:r>
      <w:r w:rsidR="00AB73DB">
        <w:rPr>
          <w:sz w:val="18"/>
          <w:szCs w:val="18"/>
        </w:rPr>
        <w:t xml:space="preserve">registered </w:t>
      </w:r>
      <w:r w:rsidRPr="00150F6F">
        <w:rPr>
          <w:sz w:val="18"/>
          <w:szCs w:val="18"/>
        </w:rPr>
        <w:t>in individual study centres would be considered adequate.</w:t>
      </w:r>
      <w:r w:rsidR="004D5CF1">
        <w:rPr>
          <w:sz w:val="18"/>
          <w:szCs w:val="18"/>
        </w:rPr>
        <w:t xml:space="preserve"> </w:t>
      </w:r>
      <w:r w:rsidR="0035621F">
        <w:rPr>
          <w:sz w:val="18"/>
          <w:szCs w:val="18"/>
        </w:rPr>
        <w:t>Data quality measures also include q</w:t>
      </w:r>
      <w:r w:rsidR="004D5CF1" w:rsidRPr="004D5CF1">
        <w:rPr>
          <w:sz w:val="18"/>
          <w:szCs w:val="18"/>
        </w:rPr>
        <w:t>uality checks at data entry</w:t>
      </w:r>
      <w:r w:rsidR="004D5CF1">
        <w:rPr>
          <w:sz w:val="18"/>
          <w:szCs w:val="18"/>
        </w:rPr>
        <w:t xml:space="preserve"> and </w:t>
      </w:r>
      <w:r w:rsidR="0035621F">
        <w:rPr>
          <w:sz w:val="18"/>
          <w:szCs w:val="18"/>
        </w:rPr>
        <w:t>monitoring of patient follow-up.</w:t>
      </w:r>
    </w:p>
    <w:p w:rsidR="004238DD" w:rsidRPr="00C10871" w:rsidRDefault="00D64049" w:rsidP="004238DD">
      <w:pPr>
        <w:pStyle w:val="Default"/>
        <w:numPr>
          <w:ilvl w:val="0"/>
          <w:numId w:val="33"/>
        </w:numPr>
        <w:shd w:val="clear" w:color="auto" w:fill="FFFFFF"/>
        <w:spacing w:after="140" w:line="280" w:lineRule="exact"/>
        <w:ind w:left="357" w:hanging="357"/>
        <w:rPr>
          <w:sz w:val="18"/>
          <w:szCs w:val="18"/>
        </w:rPr>
      </w:pPr>
      <w:r w:rsidRPr="00C10871">
        <w:rPr>
          <w:i/>
          <w:sz w:val="18"/>
          <w:szCs w:val="18"/>
        </w:rPr>
        <w:t>Data analysis</w:t>
      </w:r>
      <w:r w:rsidRPr="00C10871">
        <w:rPr>
          <w:sz w:val="18"/>
          <w:szCs w:val="18"/>
        </w:rPr>
        <w:t xml:space="preserve">: there is no single statistical method applicable to every study and the most appropriate statistical procedure would need to be selected on a case-by-case basis to specifically address the scientific question of interest. Analysis of registry data should take into account that they are selected observational cohorts and hence knowledge of techniques developed to analyse </w:t>
      </w:r>
      <w:r w:rsidRPr="00C10871">
        <w:rPr>
          <w:sz w:val="18"/>
          <w:szCs w:val="18"/>
        </w:rPr>
        <w:lastRenderedPageBreak/>
        <w:t xml:space="preserve">such data is essential. </w:t>
      </w:r>
      <w:r w:rsidR="006B4259" w:rsidRPr="00C10871">
        <w:rPr>
          <w:sz w:val="18"/>
          <w:szCs w:val="18"/>
        </w:rPr>
        <w:t>C</w:t>
      </w:r>
      <w:r w:rsidRPr="00C10871">
        <w:rPr>
          <w:sz w:val="18"/>
          <w:szCs w:val="18"/>
        </w:rPr>
        <w:t>ommon</w:t>
      </w:r>
      <w:r w:rsidR="006B4259" w:rsidRPr="00C10871">
        <w:rPr>
          <w:sz w:val="18"/>
          <w:szCs w:val="18"/>
        </w:rPr>
        <w:t>ly encountered methodological problems and how they could be approached are highlighted.</w:t>
      </w:r>
      <w:r w:rsidRPr="00C10871">
        <w:rPr>
          <w:sz w:val="18"/>
          <w:szCs w:val="18"/>
        </w:rPr>
        <w:t xml:space="preserve"> The handling of missing data should be described in the </w:t>
      </w:r>
      <w:r w:rsidR="006B4259" w:rsidRPr="00C10871">
        <w:rPr>
          <w:sz w:val="18"/>
          <w:szCs w:val="18"/>
        </w:rPr>
        <w:t>SAP</w:t>
      </w:r>
      <w:r w:rsidRPr="00C10871">
        <w:rPr>
          <w:sz w:val="18"/>
          <w:szCs w:val="18"/>
        </w:rPr>
        <w:t xml:space="preserve"> and justification should be provided for the assumption about their distribution. </w:t>
      </w:r>
    </w:p>
    <w:p w:rsidR="004238DD" w:rsidRPr="009C72A5" w:rsidRDefault="00D64049" w:rsidP="004238DD">
      <w:pPr>
        <w:pStyle w:val="Default"/>
        <w:numPr>
          <w:ilvl w:val="0"/>
          <w:numId w:val="34"/>
        </w:numPr>
        <w:shd w:val="clear" w:color="auto" w:fill="FFFFFF"/>
        <w:spacing w:after="140" w:line="280" w:lineRule="exact"/>
        <w:contextualSpacing/>
        <w:rPr>
          <w:i/>
          <w:sz w:val="18"/>
          <w:szCs w:val="18"/>
        </w:rPr>
      </w:pPr>
      <w:r w:rsidRPr="009C72A5">
        <w:rPr>
          <w:i/>
          <w:sz w:val="18"/>
          <w:szCs w:val="18"/>
        </w:rPr>
        <w:t>Safety reporting</w:t>
      </w:r>
      <w:r w:rsidRPr="009C72A5">
        <w:rPr>
          <w:sz w:val="18"/>
          <w:szCs w:val="18"/>
        </w:rPr>
        <w:t>: a distinction should be made between studies with a design based on primary data collection directly from</w:t>
      </w:r>
      <w:r w:rsidR="008C4A5B">
        <w:rPr>
          <w:sz w:val="18"/>
          <w:szCs w:val="18"/>
        </w:rPr>
        <w:t xml:space="preserve"> health care professionals</w:t>
      </w:r>
      <w:r w:rsidRPr="009C72A5">
        <w:rPr>
          <w:sz w:val="18"/>
          <w:szCs w:val="18"/>
        </w:rPr>
        <w:t xml:space="preserve"> </w:t>
      </w:r>
      <w:r w:rsidR="008C4A5B">
        <w:rPr>
          <w:sz w:val="18"/>
          <w:szCs w:val="18"/>
        </w:rPr>
        <w:t>(</w:t>
      </w:r>
      <w:r w:rsidR="00CB63E2">
        <w:rPr>
          <w:sz w:val="18"/>
          <w:szCs w:val="18"/>
        </w:rPr>
        <w:t>HCPs</w:t>
      </w:r>
      <w:r w:rsidR="008C4A5B">
        <w:rPr>
          <w:sz w:val="18"/>
          <w:szCs w:val="18"/>
        </w:rPr>
        <w:t>)</w:t>
      </w:r>
      <w:r w:rsidRPr="009C72A5">
        <w:rPr>
          <w:sz w:val="18"/>
          <w:szCs w:val="18"/>
        </w:rPr>
        <w:t xml:space="preserve"> or consumers and studies with a design based on secondary use of data; the recommendations from Module VI of the GVP should be followed. In case of primary data collection, the concerned MAH(s) should </w:t>
      </w:r>
      <w:r w:rsidR="005F5253">
        <w:rPr>
          <w:sz w:val="18"/>
          <w:szCs w:val="18"/>
        </w:rPr>
        <w:t>have a</w:t>
      </w:r>
      <w:r w:rsidRPr="009C72A5">
        <w:rPr>
          <w:sz w:val="18"/>
          <w:szCs w:val="18"/>
        </w:rPr>
        <w:t xml:space="preserve"> data collection or electronic system to collect, analyse and report information on adverse event</w:t>
      </w:r>
      <w:r w:rsidR="006B4259" w:rsidRPr="009C72A5">
        <w:rPr>
          <w:sz w:val="18"/>
          <w:szCs w:val="18"/>
        </w:rPr>
        <w:t>s</w:t>
      </w:r>
      <w:r w:rsidRPr="009C72A5">
        <w:rPr>
          <w:sz w:val="18"/>
          <w:szCs w:val="18"/>
        </w:rPr>
        <w:t xml:space="preserve"> notified by a </w:t>
      </w:r>
      <w:r w:rsidR="00154DE3">
        <w:rPr>
          <w:sz w:val="18"/>
          <w:szCs w:val="18"/>
        </w:rPr>
        <w:t>HCP</w:t>
      </w:r>
      <w:r w:rsidRPr="009C72A5">
        <w:rPr>
          <w:sz w:val="18"/>
          <w:szCs w:val="18"/>
        </w:rPr>
        <w:t xml:space="preserve"> or a patient. </w:t>
      </w:r>
      <w:r w:rsidR="0035621F">
        <w:rPr>
          <w:sz w:val="18"/>
          <w:szCs w:val="18"/>
        </w:rPr>
        <w:t>I</w:t>
      </w:r>
      <w:r w:rsidRPr="009C72A5">
        <w:rPr>
          <w:sz w:val="18"/>
          <w:szCs w:val="18"/>
        </w:rPr>
        <w:t xml:space="preserve">nvestigators of registry studies should </w:t>
      </w:r>
      <w:r w:rsidR="0035621F">
        <w:rPr>
          <w:sz w:val="18"/>
          <w:szCs w:val="18"/>
        </w:rPr>
        <w:t xml:space="preserve">also </w:t>
      </w:r>
      <w:r w:rsidRPr="009C72A5">
        <w:rPr>
          <w:sz w:val="18"/>
          <w:szCs w:val="18"/>
        </w:rPr>
        <w:t xml:space="preserve">be informed of the mechanisms allowing them to report at any time to the national </w:t>
      </w:r>
      <w:r w:rsidR="00171566">
        <w:rPr>
          <w:sz w:val="18"/>
          <w:szCs w:val="18"/>
        </w:rPr>
        <w:t>spontaneous reporting</w:t>
      </w:r>
      <w:r w:rsidR="00171566" w:rsidRPr="009C72A5">
        <w:rPr>
          <w:sz w:val="18"/>
          <w:szCs w:val="18"/>
        </w:rPr>
        <w:t xml:space="preserve"> </w:t>
      </w:r>
      <w:r w:rsidRPr="009C72A5">
        <w:rPr>
          <w:sz w:val="18"/>
          <w:szCs w:val="18"/>
        </w:rPr>
        <w:t xml:space="preserve">system any adverse event or suspected </w:t>
      </w:r>
      <w:r w:rsidR="00986037">
        <w:rPr>
          <w:sz w:val="18"/>
          <w:szCs w:val="18"/>
        </w:rPr>
        <w:t xml:space="preserve">adverse reaction </w:t>
      </w:r>
      <w:r w:rsidRPr="009C72A5">
        <w:rPr>
          <w:sz w:val="18"/>
          <w:szCs w:val="18"/>
        </w:rPr>
        <w:t>occurring during the course of the study.</w:t>
      </w:r>
    </w:p>
    <w:p w:rsidR="004238DD" w:rsidRDefault="00D64049" w:rsidP="004238DD">
      <w:pPr>
        <w:pStyle w:val="BodytextAgency"/>
        <w:numPr>
          <w:ilvl w:val="0"/>
          <w:numId w:val="34"/>
        </w:numPr>
      </w:pPr>
      <w:r w:rsidRPr="00822100">
        <w:rPr>
          <w:i/>
        </w:rPr>
        <w:t>Reporting of study results</w:t>
      </w:r>
      <w:r>
        <w:t>:</w:t>
      </w:r>
      <w:r w:rsidRPr="00437483">
        <w:t xml:space="preserve"> for imposed PASS</w:t>
      </w:r>
      <w:r w:rsidR="00944CD8">
        <w:t xml:space="preserve"> and PAES</w:t>
      </w:r>
      <w:r w:rsidRPr="00437483">
        <w:t xml:space="preserve">, </w:t>
      </w:r>
      <w:r>
        <w:t>legal obligations apply to the final study report to be submitted by the MAH to regulatory authorities. MAHs should therefore be able to comment on the study results and their interpretation as well as on the format of the report. Following the submission of the final study report to the regulatory authority, additional information or clarifications may be requested to the MAH by the regulatory authority and the lead investigator should have the duty and scientific responsibility to address the scientific aspects of the request.</w:t>
      </w:r>
      <w:r w:rsidRPr="003A108D">
        <w:t xml:space="preserve"> </w:t>
      </w:r>
      <w:r>
        <w:t>The lead investigator should always have the right to independently prepare publications of the study results irrespective of the source of funding.</w:t>
      </w:r>
    </w:p>
    <w:p w:rsidR="00A2122F" w:rsidRDefault="00D64049" w:rsidP="009671E3">
      <w:pPr>
        <w:pStyle w:val="BodytextAgency"/>
      </w:pPr>
      <w:r>
        <w:t>The EMA is</w:t>
      </w:r>
      <w:r w:rsidR="00194B01" w:rsidRPr="0029175B">
        <w:t xml:space="preserve"> willing to support interactions </w:t>
      </w:r>
      <w:r w:rsidR="00194B01">
        <w:t xml:space="preserve">between MAAs/MAHs </w:t>
      </w:r>
      <w:r w:rsidR="00194B01" w:rsidRPr="0029175B">
        <w:t xml:space="preserve">and </w:t>
      </w:r>
      <w:r w:rsidR="00194B01">
        <w:t xml:space="preserve">registries and </w:t>
      </w:r>
      <w:r w:rsidR="00194B01" w:rsidRPr="0029175B">
        <w:t xml:space="preserve">provide tools to facilitate recognition of </w:t>
      </w:r>
      <w:r w:rsidR="008545AE">
        <w:t xml:space="preserve">disease </w:t>
      </w:r>
      <w:r w:rsidR="00194B01" w:rsidRPr="0029175B">
        <w:t>registries as data sources to conduct studies for regulatory purposes.</w:t>
      </w:r>
      <w:r w:rsidR="00194B01">
        <w:t xml:space="preserve"> Early dialogue with regulators is encouraged. </w:t>
      </w:r>
      <w:r w:rsidR="00194B01" w:rsidRPr="0029175B">
        <w:t>The Scientific Advice procedure on study protocols and the Qualification procedures of registries are available to pharmaceutical companies and registry coordinators to provide advice and opinions on the validity of registries</w:t>
      </w:r>
      <w:r w:rsidR="00C10871">
        <w:t xml:space="preserve"> and study protocols</w:t>
      </w:r>
      <w:r w:rsidR="00194B01" w:rsidRPr="0029175B">
        <w:t>.</w:t>
      </w:r>
    </w:p>
    <w:p w:rsidR="004005BE" w:rsidRPr="0029175B" w:rsidRDefault="00D64049">
      <w:r w:rsidRPr="0029175B">
        <w:br w:type="page"/>
      </w:r>
    </w:p>
    <w:p w:rsidR="00AD4CBC" w:rsidRPr="0029175B" w:rsidRDefault="00D64049" w:rsidP="00AD4CBC">
      <w:pPr>
        <w:pStyle w:val="Heading1Agency"/>
      </w:pPr>
      <w:bookmarkStart w:id="4" w:name="_Toc527799532"/>
      <w:bookmarkStart w:id="5" w:name="_Toc527799711"/>
      <w:bookmarkStart w:id="6" w:name="_Toc527799533"/>
      <w:bookmarkStart w:id="7" w:name="_Toc527799712"/>
      <w:bookmarkStart w:id="8" w:name="_Toc527799534"/>
      <w:bookmarkStart w:id="9" w:name="_Toc527799713"/>
      <w:bookmarkStart w:id="10" w:name="_Toc527799535"/>
      <w:bookmarkStart w:id="11" w:name="_Toc527799714"/>
      <w:bookmarkStart w:id="12" w:name="_Toc527799536"/>
      <w:bookmarkStart w:id="13" w:name="_Toc527799715"/>
      <w:bookmarkStart w:id="14" w:name="_Toc527799537"/>
      <w:bookmarkStart w:id="15" w:name="_Toc527799716"/>
      <w:bookmarkStart w:id="16" w:name="_Toc527799538"/>
      <w:bookmarkStart w:id="17" w:name="_Toc527799717"/>
      <w:bookmarkStart w:id="18" w:name="_Toc527799539"/>
      <w:bookmarkStart w:id="19" w:name="_Toc527799718"/>
      <w:bookmarkStart w:id="20" w:name="_Toc527799540"/>
      <w:bookmarkStart w:id="21" w:name="_Toc527799719"/>
      <w:bookmarkStart w:id="22" w:name="_Toc527799541"/>
      <w:bookmarkStart w:id="23" w:name="_Toc527799720"/>
      <w:bookmarkStart w:id="24" w:name="_Toc527799542"/>
      <w:bookmarkStart w:id="25" w:name="_Toc527799721"/>
      <w:bookmarkStart w:id="26" w:name="_Toc527799543"/>
      <w:bookmarkStart w:id="27" w:name="_Toc527799722"/>
      <w:bookmarkStart w:id="28" w:name="_Toc527799544"/>
      <w:bookmarkStart w:id="29" w:name="_Toc527799723"/>
      <w:bookmarkStart w:id="30" w:name="_Toc527799545"/>
      <w:bookmarkStart w:id="31" w:name="_Toc527799724"/>
      <w:bookmarkStart w:id="32" w:name="_Toc527799546"/>
      <w:bookmarkStart w:id="33" w:name="_Toc527799725"/>
      <w:bookmarkStart w:id="34" w:name="_Toc527799547"/>
      <w:bookmarkStart w:id="35" w:name="_Toc527799726"/>
      <w:bookmarkStart w:id="36" w:name="_Toc527799548"/>
      <w:bookmarkStart w:id="37" w:name="_Toc527799727"/>
      <w:bookmarkStart w:id="38" w:name="_Toc527799549"/>
      <w:bookmarkStart w:id="39" w:name="_Toc527799728"/>
      <w:bookmarkStart w:id="40" w:name="_Toc527799550"/>
      <w:bookmarkStart w:id="41" w:name="_Toc527799729"/>
      <w:bookmarkStart w:id="42" w:name="_Toc527799551"/>
      <w:bookmarkStart w:id="43" w:name="_Toc527799730"/>
      <w:bookmarkStart w:id="44" w:name="_Toc527799552"/>
      <w:bookmarkStart w:id="45" w:name="_Toc527799731"/>
      <w:bookmarkStart w:id="46" w:name="_Toc527799553"/>
      <w:bookmarkStart w:id="47" w:name="_Toc527799732"/>
      <w:bookmarkStart w:id="48" w:name="_Toc527799554"/>
      <w:bookmarkStart w:id="49" w:name="_Toc527799733"/>
      <w:bookmarkStart w:id="50" w:name="_Toc527799555"/>
      <w:bookmarkStart w:id="51" w:name="_Toc527799734"/>
      <w:bookmarkStart w:id="52" w:name="_Toc527799556"/>
      <w:bookmarkStart w:id="53" w:name="_Toc527799735"/>
      <w:bookmarkStart w:id="54" w:name="_Toc527799557"/>
      <w:bookmarkStart w:id="55" w:name="_Toc527799736"/>
      <w:bookmarkStart w:id="56" w:name="_Toc527799558"/>
      <w:bookmarkStart w:id="57" w:name="_Toc527799737"/>
      <w:bookmarkStart w:id="58" w:name="_Toc527799559"/>
      <w:bookmarkStart w:id="59" w:name="_Toc527799738"/>
      <w:bookmarkStart w:id="60" w:name="_Toc527799560"/>
      <w:bookmarkStart w:id="61" w:name="_Toc527799739"/>
      <w:bookmarkStart w:id="62" w:name="_Toc527799561"/>
      <w:bookmarkStart w:id="63" w:name="_Toc527799740"/>
      <w:bookmarkStart w:id="64" w:name="_Toc527799562"/>
      <w:bookmarkStart w:id="65" w:name="_Toc527799741"/>
      <w:bookmarkStart w:id="66" w:name="_Toc527799563"/>
      <w:bookmarkStart w:id="67" w:name="_Toc527799742"/>
      <w:bookmarkStart w:id="68" w:name="_Toc527799564"/>
      <w:bookmarkStart w:id="69" w:name="_Toc527799743"/>
      <w:bookmarkStart w:id="70" w:name="_Toc52893491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9175B">
        <w:lastRenderedPageBreak/>
        <w:t>Introduction</w:t>
      </w:r>
      <w:bookmarkEnd w:id="70"/>
    </w:p>
    <w:p w:rsidR="00AD4CBC" w:rsidRPr="0029175B" w:rsidRDefault="00D64049" w:rsidP="00AD4CBC">
      <w:pPr>
        <w:pStyle w:val="Default"/>
        <w:spacing w:after="140" w:line="280" w:lineRule="exact"/>
        <w:rPr>
          <w:sz w:val="18"/>
          <w:szCs w:val="18"/>
          <w:lang w:val="en-GB"/>
        </w:rPr>
      </w:pPr>
      <w:r w:rsidRPr="0029175B">
        <w:rPr>
          <w:bCs/>
          <w:sz w:val="18"/>
          <w:szCs w:val="18"/>
          <w:lang w:val="en-GB"/>
        </w:rPr>
        <w:t>The European Medicines Agency (EMA) is responsible for the scientific evaluation, supervision and safety monitoring of medicines in the European Union</w:t>
      </w:r>
      <w:r w:rsidR="00890542" w:rsidRPr="0029175B">
        <w:rPr>
          <w:bCs/>
          <w:sz w:val="18"/>
          <w:szCs w:val="18"/>
          <w:lang w:val="en-GB"/>
        </w:rPr>
        <w:t xml:space="preserve"> (EU)</w:t>
      </w:r>
      <w:r w:rsidRPr="0029175B">
        <w:rPr>
          <w:bCs/>
          <w:sz w:val="18"/>
          <w:szCs w:val="18"/>
          <w:lang w:val="en-GB"/>
        </w:rPr>
        <w:t xml:space="preserve">. Together with the EU regulatory network, the </w:t>
      </w:r>
      <w:r w:rsidRPr="0029175B">
        <w:rPr>
          <w:sz w:val="18"/>
          <w:szCs w:val="18"/>
          <w:lang w:val="en-GB"/>
        </w:rPr>
        <w:t>EMA's scientific committees provide an independent and comprehensive scientific evaluation of data submitted by companies in marketing</w:t>
      </w:r>
      <w:r w:rsidR="00154DE3">
        <w:rPr>
          <w:sz w:val="18"/>
          <w:szCs w:val="18"/>
          <w:lang w:val="en-GB"/>
        </w:rPr>
        <w:t xml:space="preserve"> </w:t>
      </w:r>
      <w:r w:rsidRPr="0029175B">
        <w:rPr>
          <w:sz w:val="18"/>
          <w:szCs w:val="18"/>
          <w:lang w:val="en-GB"/>
        </w:rPr>
        <w:t xml:space="preserve">authorisation applications, </w:t>
      </w:r>
      <w:r w:rsidRPr="0029175B">
        <w:rPr>
          <w:bCs/>
          <w:sz w:val="18"/>
          <w:szCs w:val="18"/>
          <w:lang w:val="en-GB"/>
        </w:rPr>
        <w:t xml:space="preserve">and their recommendations </w:t>
      </w:r>
      <w:r w:rsidRPr="0029175B">
        <w:rPr>
          <w:sz w:val="18"/>
          <w:szCs w:val="18"/>
          <w:lang w:val="en-GB"/>
        </w:rPr>
        <w:t xml:space="preserve">provide the basis for the authorisation of medicines in Europe through the centralised procedure. Once medicines have been authorised, the EMA </w:t>
      </w:r>
      <w:r w:rsidRPr="0029175B">
        <w:rPr>
          <w:bCs/>
          <w:sz w:val="18"/>
          <w:szCs w:val="18"/>
          <w:lang w:val="en-GB"/>
        </w:rPr>
        <w:t xml:space="preserve">continuously monitors and supervises </w:t>
      </w:r>
      <w:r w:rsidRPr="0029175B">
        <w:rPr>
          <w:sz w:val="18"/>
          <w:szCs w:val="18"/>
          <w:lang w:val="en-GB"/>
        </w:rPr>
        <w:t>their safety</w:t>
      </w:r>
      <w:r w:rsidR="00890542" w:rsidRPr="0029175B">
        <w:rPr>
          <w:sz w:val="18"/>
          <w:szCs w:val="18"/>
          <w:lang w:val="en-GB"/>
        </w:rPr>
        <w:t xml:space="preserve"> and effectiveness </w:t>
      </w:r>
      <w:r w:rsidRPr="0029175B">
        <w:rPr>
          <w:sz w:val="18"/>
          <w:szCs w:val="18"/>
          <w:lang w:val="en-GB"/>
        </w:rPr>
        <w:t xml:space="preserve">to ensure that their </w:t>
      </w:r>
      <w:r w:rsidRPr="0029175B">
        <w:rPr>
          <w:bCs/>
          <w:sz w:val="18"/>
          <w:szCs w:val="18"/>
          <w:lang w:val="en-GB"/>
        </w:rPr>
        <w:t xml:space="preserve">benefits </w:t>
      </w:r>
      <w:r w:rsidR="00890542" w:rsidRPr="0029175B">
        <w:rPr>
          <w:bCs/>
          <w:sz w:val="18"/>
          <w:szCs w:val="18"/>
          <w:lang w:val="en-GB"/>
        </w:rPr>
        <w:t xml:space="preserve">continues to </w:t>
      </w:r>
      <w:r w:rsidRPr="0029175B">
        <w:rPr>
          <w:bCs/>
          <w:sz w:val="18"/>
          <w:szCs w:val="18"/>
          <w:lang w:val="en-GB"/>
        </w:rPr>
        <w:t xml:space="preserve">outweigh their risks </w:t>
      </w:r>
      <w:r w:rsidRPr="0029175B">
        <w:rPr>
          <w:bCs/>
          <w:sz w:val="18"/>
          <w:szCs w:val="18"/>
          <w:lang w:val="en-GB"/>
        </w:rPr>
        <w:fldChar w:fldCharType="begin"/>
      </w:r>
      <w:r w:rsidRPr="0029175B">
        <w:rPr>
          <w:bCs/>
          <w:sz w:val="18"/>
          <w:szCs w:val="18"/>
          <w:lang w:val="en-GB"/>
        </w:rPr>
        <w:instrText xml:space="preserve"> ADDIN ZOTERO_ITEM CSL_CITATION {"citationID":"a1vp7e6nr","properties":{"formattedCitation":"(1)","plainCitation":"(1)"},"citationItems":[{"id":2278,"uris":["http://zotero.org/users/local/tAKp4fcl/items/HA62AKUB"],"uri":["http://zotero.org/users/local/tAKp4fcl/items/HA62AKUB"],"itemData":{"id":2278,"type":"article","title":"About Us. EMA/338312/2016 Rev. 1","URL":"http://www.ema.europa.eu/docs/en_GB/document_library/Other/2016/08/WC500211862.pdf","author":[{"literal":"European Medicines Agency (EMA)"}],"issued":{"date-parts":[["2017",2,16]]}}}],"schema":"https://github.com/citation-style-language/schema/raw/master/csl-citation.json"} </w:instrText>
      </w:r>
      <w:r w:rsidRPr="0029175B">
        <w:rPr>
          <w:bCs/>
          <w:sz w:val="18"/>
          <w:szCs w:val="18"/>
          <w:lang w:val="en-GB"/>
        </w:rPr>
        <w:fldChar w:fldCharType="separate"/>
      </w:r>
      <w:r w:rsidRPr="0029175B">
        <w:rPr>
          <w:sz w:val="18"/>
          <w:lang w:val="en-GB"/>
        </w:rPr>
        <w:t>(1)</w:t>
      </w:r>
      <w:r w:rsidRPr="0029175B">
        <w:rPr>
          <w:bCs/>
          <w:sz w:val="18"/>
          <w:szCs w:val="18"/>
          <w:lang w:val="en-GB"/>
        </w:rPr>
        <w:fldChar w:fldCharType="end"/>
      </w:r>
      <w:r w:rsidRPr="0029175B">
        <w:rPr>
          <w:sz w:val="18"/>
          <w:szCs w:val="18"/>
          <w:lang w:val="en-GB"/>
        </w:rPr>
        <w:t xml:space="preserve">. </w:t>
      </w:r>
    </w:p>
    <w:p w:rsidR="00A2090C" w:rsidRPr="0029175B" w:rsidRDefault="00D64049" w:rsidP="00AD4CBC">
      <w:pPr>
        <w:pStyle w:val="Default"/>
        <w:spacing w:after="140" w:line="280" w:lineRule="exact"/>
        <w:rPr>
          <w:sz w:val="18"/>
          <w:szCs w:val="18"/>
          <w:lang w:val="en-GB"/>
        </w:rPr>
      </w:pPr>
      <w:r w:rsidRPr="0029175B">
        <w:rPr>
          <w:sz w:val="18"/>
          <w:szCs w:val="18"/>
          <w:lang w:val="en-GB"/>
        </w:rPr>
        <w:t xml:space="preserve">Patient registries are frequently used as a source of data for post-authorisation </w:t>
      </w:r>
      <w:r w:rsidR="00890542" w:rsidRPr="0029175B">
        <w:rPr>
          <w:sz w:val="18"/>
          <w:szCs w:val="18"/>
          <w:lang w:val="en-GB"/>
        </w:rPr>
        <w:t>monitoring of medicinal products</w:t>
      </w:r>
      <w:r w:rsidRPr="0029175B">
        <w:rPr>
          <w:sz w:val="18"/>
          <w:szCs w:val="18"/>
          <w:lang w:val="en-GB"/>
        </w:rPr>
        <w:t xml:space="preserve">. An analysis of 335 centrally approved products from 2005-2013 found that for 30 products (9.0%), a </w:t>
      </w:r>
      <w:r w:rsidRPr="006E7959">
        <w:rPr>
          <w:i/>
          <w:sz w:val="18"/>
          <w:szCs w:val="18"/>
          <w:lang w:val="en-GB"/>
        </w:rPr>
        <w:t>registry</w:t>
      </w:r>
      <w:r w:rsidRPr="0029175B">
        <w:rPr>
          <w:sz w:val="18"/>
          <w:szCs w:val="18"/>
          <w:lang w:val="en-GB"/>
        </w:rPr>
        <w:t xml:space="preserve"> has been requested by the EMA Committee for Medicinal Products for Human Use (CHMP) as a condition of the marketing authorisation </w:t>
      </w:r>
      <w:r w:rsidRPr="0029175B">
        <w:rPr>
          <w:sz w:val="18"/>
          <w:szCs w:val="18"/>
          <w:lang w:val="en-GB"/>
        </w:rPr>
        <w:fldChar w:fldCharType="begin"/>
      </w:r>
      <w:r w:rsidRPr="0029175B">
        <w:rPr>
          <w:sz w:val="18"/>
          <w:szCs w:val="18"/>
          <w:lang w:val="en-GB"/>
        </w:rPr>
        <w:instrText xml:space="preserve"> ADDIN ZOTERO_ITEM CSL_CITATION {"citationID":"avf5t60s07","properties":{"formattedCitation":"(2)","plainCitation":"(2)"},"citationItems":[{"id":2177,"uris":["http://zotero.org/users/local/tAKp4fcl/items/XCRQQLYV"],"uri":["http://zotero.org/users/local/tAKp4fcl/items/XCRQQLYV"],"itemData":{"id":2177,"type":"article-journal","title":"Registries in European post-marketing surveillance: a retrospective analysis of centrally approved products, 2005-2013","container-title":"Pharmacoepidemiology and Drug Safety","page":"1442-1450","volume":"26","issue":"12","source":"PubMed","abstract":"PURPOSE: Regulatory agencies and other stakeholders increasingly rely on data collected through registries to support their decision-making. Data from registries are a cornerstone of post-marketing surveillance for monitoring the use of medicines in clinical practice. This study was aimed at gaining further insight into the European Medicines Agency's (EMA) requests for new registries and registry studies using existing registries and to review the experience gained in their conduct.\nMETHODS: European Public Assessment Reports were consulted to identify products for which a request for a registry was made as a condition of the marketing authorisation. All centrally authorised products that received a positive opinion of the EMA Committee for Medicinal Products for Human Use between 1 January 2005 and 31 December 2013 were included. Data regarding registry design and experiences were collected from EMA electronic record keeping systems.\nRESULTS: Of 392 products that received a positive Committee for Medicinal Products for Human Use opinion during 2005-2013, 31 registries were requested for 30 products in total. Sixty-five percent were product registries whereas 35% were disease registries and 71% of the registries had a primary safety objective. Most commonly reported issues with registries were delayed time to start and low patient accrual rates.\nCONCLUSIONS: The delays found in getting new registries up and running support the need to improve the timeliness of data collection in the post-marketing setting. Methodological challenges met in conducting this study highlighted the need for a clarification of definitions and epidemiological concepts around patient registries. The results will inform the EMA Patient Registry initiative to support use of existing patient registries for the post-authorisation benefit-risk monitoring of medicinal products. © 2017 Commonwealth of Australia. Pharmacoepidemiology &amp; Drug Safety © 2017 John Wiley &amp; Sons, Ltd.","DOI":"10.1002/pds.4196","ISSN":"1099-1557","note":"PMID: 28345151","shortTitle":"Registries in European post-marketing surveillance","journalAbbreviation":"Pharmacoepidemiol Drug Saf","language":"eng","author":[{"family":"Bouvy","given":"Jacoline C."},{"family":"Blake","given":"Kevin"},{"family":"Slattery","given":"Jim"},{"family":"De Bruin","given":"Marie L."},{"family":"Arlett","given":"Peter"},{"family":"Kurz","given":"Xavier"}],"issued":{"date-parts":[["2017",12]]}}}],"schema":"https://github.com/citation-style-language/schema/raw/master/csl-citation.json"} </w:instrText>
      </w:r>
      <w:r w:rsidRPr="0029175B">
        <w:rPr>
          <w:sz w:val="18"/>
          <w:szCs w:val="18"/>
          <w:lang w:val="en-GB"/>
        </w:rPr>
        <w:fldChar w:fldCharType="separate"/>
      </w:r>
      <w:r w:rsidRPr="0029175B">
        <w:rPr>
          <w:sz w:val="18"/>
          <w:lang w:val="en-GB"/>
        </w:rPr>
        <w:t>(2)</w:t>
      </w:r>
      <w:r w:rsidRPr="0029175B">
        <w:rPr>
          <w:sz w:val="18"/>
          <w:szCs w:val="18"/>
          <w:lang w:val="en-GB"/>
        </w:rPr>
        <w:fldChar w:fldCharType="end"/>
      </w:r>
      <w:r w:rsidRPr="0029175B">
        <w:rPr>
          <w:sz w:val="18"/>
          <w:szCs w:val="18"/>
          <w:lang w:val="en-GB"/>
        </w:rPr>
        <w:t xml:space="preserve">. Another review of 116 new drugs approved by the CHMP from 2007 to 2010 found that at least one registry was included in the </w:t>
      </w:r>
      <w:r w:rsidR="00356183" w:rsidRPr="0029175B">
        <w:rPr>
          <w:sz w:val="18"/>
          <w:szCs w:val="18"/>
          <w:lang w:val="en-GB"/>
        </w:rPr>
        <w:t>risk management plan (</w:t>
      </w:r>
      <w:r w:rsidRPr="0029175B">
        <w:rPr>
          <w:sz w:val="18"/>
          <w:szCs w:val="18"/>
          <w:lang w:val="en-GB"/>
        </w:rPr>
        <w:t>RMP</w:t>
      </w:r>
      <w:r w:rsidR="00567B46" w:rsidRPr="0029175B">
        <w:rPr>
          <w:sz w:val="18"/>
          <w:szCs w:val="18"/>
          <w:lang w:val="en-GB"/>
        </w:rPr>
        <w:t>)</w:t>
      </w:r>
      <w:r w:rsidRPr="0029175B">
        <w:rPr>
          <w:sz w:val="18"/>
          <w:szCs w:val="18"/>
          <w:lang w:val="en-GB"/>
        </w:rPr>
        <w:t xml:space="preserve"> of 43 (37%) products and, out of these, it was imposed as an obligation for 9 (</w:t>
      </w:r>
      <w:r w:rsidR="001B4A69" w:rsidRPr="0029175B">
        <w:rPr>
          <w:sz w:val="18"/>
          <w:szCs w:val="18"/>
          <w:lang w:val="en-GB"/>
        </w:rPr>
        <w:t>20.9</w:t>
      </w:r>
      <w:r w:rsidRPr="0029175B">
        <w:rPr>
          <w:sz w:val="18"/>
          <w:szCs w:val="18"/>
          <w:lang w:val="en-GB"/>
        </w:rPr>
        <w:t xml:space="preserve">%) products </w:t>
      </w:r>
      <w:r w:rsidRPr="0029175B">
        <w:rPr>
          <w:sz w:val="18"/>
          <w:szCs w:val="18"/>
          <w:lang w:val="en-GB"/>
        </w:rPr>
        <w:fldChar w:fldCharType="begin"/>
      </w:r>
      <w:r w:rsidRPr="0029175B">
        <w:rPr>
          <w:sz w:val="18"/>
          <w:szCs w:val="18"/>
          <w:lang w:val="en-GB"/>
        </w:rPr>
        <w:instrText xml:space="preserve"> ADDIN ZOTERO_ITEM CSL_CITATION {"citationID":"a1mfbsp40hb","properties":{"formattedCitation":"(3)","plainCitation":"(3)"},"citationItems":[{"id":2175,"uris":["http://zotero.org/users/local/tAKp4fcl/items/FF7BLQRW"],"uri":["http://zotero.org/users/local/tAKp4fcl/items/FF7BLQRW"],"itemData":{"id":2175,"type":"article-journal","title":"Registries supporting new drug applications","container-title":"Pharmacoepidemiology and Drug Safety","page":"1451-1457","volume":"26","issue":"12","source":"PubMed","abstract":"PURPOSE: Knowledge of the benefits and risks of new drugs is incomplete at the time of marketing approval. Registries offer the possibility for additional, post-approval, data collection. For all new drugs, which were approved in the European Union between 2007 and 2010, we reviewed the frequency, the type, and the reason for requiring a registry.\nMETHODS: The European Public Assessment Reports, published on the website of the European Medicine Agency, were reviewed for drugs approved by the Committee for Medicinal Products for Human Use. We searched for key characteristics of these drugs, including therapeutic area (ATC1 level), level of innovation (the score is an algorithm based on availability of treatment and therapeutic effect), and procedural characteristics. In addition, we identified if these registries were defined by disease (disease registry) or exposure to a single drug (drug registry).\nRESULTS: Out of 116 new drugs approved in the predefined period, for 43 (37%), 1 to 6 registry studies were identified, with a total of 73 registries. Of these 46 were disease registries and 27 (single) drug registries. For 9 drugs, the registry was a specific obligation imposed by the regulators. The level of innovation and the orphan status of the drugs were determinants positively predicting post-approval registries (OR 10.3 [95% CI 1.0-103.9] and OR 2.8 [95% CI 1.0-7.5], respectively).\nCONCLUSIONS: The majority of registries required by regulators are existing disease registries. Registries are an important and frequently used tool for post-approval data collection for orphan and innovative drugs.","DOI":"10.1002/pds.4332","ISSN":"1099-1557","note":"PMID: 28983992\nPMCID: PMC5725674","journalAbbreviation":"Pharmacoepidemiol Drug Saf","language":"eng","author":[{"family":"Jonker","given":"Carla J."},{"family":"Berg","given":"H. Marijke","non-dropping-particle":"van den"},{"family":"Kwa","given":"Marcel S. G."},{"family":"Hoes","given":"Arno W."},{"family":"Mol","given":"Peter G. M."}],"issued":{"date-parts":[["2017",12]]}}}],"schema":"https://github.com/citation-style-language/schema/raw/master/csl-citation.json"} </w:instrText>
      </w:r>
      <w:r w:rsidRPr="0029175B">
        <w:rPr>
          <w:sz w:val="18"/>
          <w:szCs w:val="18"/>
          <w:lang w:val="en-GB"/>
        </w:rPr>
        <w:fldChar w:fldCharType="separate"/>
      </w:r>
      <w:r w:rsidRPr="0029175B">
        <w:rPr>
          <w:sz w:val="18"/>
          <w:lang w:val="en-GB"/>
        </w:rPr>
        <w:t>(3)</w:t>
      </w:r>
      <w:r w:rsidRPr="0029175B">
        <w:rPr>
          <w:sz w:val="18"/>
          <w:szCs w:val="18"/>
          <w:lang w:val="en-GB"/>
        </w:rPr>
        <w:fldChar w:fldCharType="end"/>
      </w:r>
      <w:r w:rsidRPr="0029175B">
        <w:rPr>
          <w:sz w:val="18"/>
          <w:szCs w:val="18"/>
          <w:lang w:val="en-GB"/>
        </w:rPr>
        <w:t xml:space="preserve">. These reviews have found that registries requested by the EMA are often created </w:t>
      </w:r>
      <w:r w:rsidR="00F56E3D">
        <w:rPr>
          <w:sz w:val="18"/>
          <w:szCs w:val="18"/>
          <w:lang w:val="en-GB"/>
        </w:rPr>
        <w:t xml:space="preserve">by companies </w:t>
      </w:r>
      <w:r w:rsidRPr="0029175B">
        <w:rPr>
          <w:sz w:val="18"/>
          <w:szCs w:val="18"/>
          <w:lang w:val="en-GB"/>
        </w:rPr>
        <w:t xml:space="preserve">as </w:t>
      </w:r>
      <w:r w:rsidR="00C53C87" w:rsidRPr="0029175B">
        <w:rPr>
          <w:sz w:val="18"/>
          <w:szCs w:val="18"/>
          <w:lang w:val="en-GB"/>
        </w:rPr>
        <w:t xml:space="preserve">new </w:t>
      </w:r>
      <w:r w:rsidRPr="004D51CC">
        <w:rPr>
          <w:i/>
          <w:sz w:val="18"/>
          <w:szCs w:val="18"/>
          <w:lang w:val="en-GB"/>
        </w:rPr>
        <w:t>product registries</w:t>
      </w:r>
      <w:r w:rsidRPr="0029175B">
        <w:rPr>
          <w:sz w:val="18"/>
          <w:szCs w:val="18"/>
          <w:lang w:val="en-GB"/>
        </w:rPr>
        <w:t xml:space="preserve"> where inclusion is determined by exposure to a specific medicinal product</w:t>
      </w:r>
      <w:r w:rsidR="004D51CC">
        <w:rPr>
          <w:sz w:val="18"/>
          <w:szCs w:val="18"/>
          <w:lang w:val="en-GB"/>
        </w:rPr>
        <w:t>.</w:t>
      </w:r>
      <w:r w:rsidRPr="0029175B">
        <w:rPr>
          <w:sz w:val="18"/>
          <w:szCs w:val="18"/>
          <w:lang w:val="en-GB"/>
        </w:rPr>
        <w:t xml:space="preserve"> </w:t>
      </w:r>
      <w:r w:rsidR="004D51CC">
        <w:rPr>
          <w:sz w:val="18"/>
          <w:szCs w:val="18"/>
          <w:lang w:val="en-GB"/>
        </w:rPr>
        <w:t>However, m</w:t>
      </w:r>
      <w:r w:rsidRPr="0029175B">
        <w:rPr>
          <w:sz w:val="18"/>
          <w:szCs w:val="18"/>
          <w:lang w:val="en-GB"/>
        </w:rPr>
        <w:t xml:space="preserve">any </w:t>
      </w:r>
      <w:r w:rsidR="00DA01ED">
        <w:rPr>
          <w:sz w:val="18"/>
          <w:szCs w:val="18"/>
          <w:lang w:val="en-GB"/>
        </w:rPr>
        <w:t>patient</w:t>
      </w:r>
      <w:r w:rsidR="00DA01ED" w:rsidRPr="0029175B">
        <w:rPr>
          <w:sz w:val="18"/>
          <w:szCs w:val="18"/>
          <w:lang w:val="en-GB"/>
        </w:rPr>
        <w:t xml:space="preserve"> </w:t>
      </w:r>
      <w:r w:rsidR="00154DE3" w:rsidRPr="004D51CC">
        <w:rPr>
          <w:i/>
          <w:sz w:val="18"/>
          <w:szCs w:val="18"/>
          <w:lang w:val="en-GB"/>
        </w:rPr>
        <w:t xml:space="preserve">disease </w:t>
      </w:r>
      <w:r w:rsidRPr="004D51CC">
        <w:rPr>
          <w:i/>
          <w:sz w:val="18"/>
          <w:szCs w:val="18"/>
          <w:lang w:val="en-GB"/>
        </w:rPr>
        <w:t>registries</w:t>
      </w:r>
      <w:r w:rsidR="004D51CC">
        <w:rPr>
          <w:i/>
          <w:sz w:val="18"/>
          <w:szCs w:val="18"/>
          <w:lang w:val="en-GB"/>
        </w:rPr>
        <w:t>,</w:t>
      </w:r>
      <w:r w:rsidRPr="0029175B">
        <w:rPr>
          <w:sz w:val="18"/>
          <w:szCs w:val="18"/>
          <w:lang w:val="en-GB"/>
        </w:rPr>
        <w:t xml:space="preserve"> </w:t>
      </w:r>
      <w:r w:rsidR="004D51CC" w:rsidRPr="004D51CC">
        <w:rPr>
          <w:sz w:val="18"/>
          <w:szCs w:val="18"/>
          <w:lang w:val="en-GB"/>
        </w:rPr>
        <w:t>where inclusion is determined by occurrence of a specific disease</w:t>
      </w:r>
      <w:r w:rsidR="004D51CC">
        <w:rPr>
          <w:sz w:val="18"/>
          <w:szCs w:val="18"/>
          <w:lang w:val="en-GB"/>
        </w:rPr>
        <w:t xml:space="preserve">, </w:t>
      </w:r>
      <w:r w:rsidRPr="0029175B">
        <w:rPr>
          <w:sz w:val="18"/>
          <w:szCs w:val="18"/>
          <w:lang w:val="en-GB"/>
        </w:rPr>
        <w:t xml:space="preserve">exist in Europe. </w:t>
      </w:r>
      <w:r w:rsidR="004D51CC">
        <w:rPr>
          <w:sz w:val="18"/>
          <w:szCs w:val="18"/>
          <w:lang w:val="en-GB"/>
        </w:rPr>
        <w:t>They</w:t>
      </w:r>
      <w:r w:rsidRPr="0029175B">
        <w:rPr>
          <w:sz w:val="18"/>
          <w:szCs w:val="18"/>
          <w:lang w:val="en-GB"/>
        </w:rPr>
        <w:t xml:space="preserve"> include a wealth of clinical information that has </w:t>
      </w:r>
      <w:r w:rsidR="00286B52" w:rsidRPr="0029175B">
        <w:rPr>
          <w:sz w:val="18"/>
          <w:szCs w:val="18"/>
          <w:lang w:val="en-GB"/>
        </w:rPr>
        <w:t xml:space="preserve">not </w:t>
      </w:r>
      <w:r w:rsidRPr="0029175B">
        <w:rPr>
          <w:sz w:val="18"/>
          <w:szCs w:val="18"/>
          <w:lang w:val="en-GB"/>
        </w:rPr>
        <w:t>b</w:t>
      </w:r>
      <w:r w:rsidR="00286B52" w:rsidRPr="0029175B">
        <w:rPr>
          <w:sz w:val="18"/>
          <w:szCs w:val="18"/>
          <w:lang w:val="en-GB"/>
        </w:rPr>
        <w:t>een extensively</w:t>
      </w:r>
      <w:r w:rsidRPr="0029175B">
        <w:rPr>
          <w:sz w:val="18"/>
          <w:szCs w:val="18"/>
          <w:lang w:val="en-GB"/>
        </w:rPr>
        <w:t xml:space="preserve"> used by regulatory authorities for the benefit-risk evaluation of medicines</w:t>
      </w:r>
      <w:r w:rsidR="004D51CC">
        <w:rPr>
          <w:sz w:val="18"/>
          <w:szCs w:val="18"/>
          <w:lang w:val="en-GB"/>
        </w:rPr>
        <w:t>.</w:t>
      </w:r>
    </w:p>
    <w:p w:rsidR="00A30DC7" w:rsidRPr="0029175B" w:rsidRDefault="00D64049" w:rsidP="002C2A1D">
      <w:pPr>
        <w:pStyle w:val="Default"/>
        <w:spacing w:after="140" w:line="280" w:lineRule="exact"/>
        <w:rPr>
          <w:sz w:val="18"/>
          <w:szCs w:val="18"/>
          <w:lang w:val="en-GB"/>
        </w:rPr>
      </w:pPr>
      <w:r w:rsidRPr="0029175B">
        <w:rPr>
          <w:sz w:val="18"/>
          <w:szCs w:val="18"/>
          <w:lang w:val="en-GB"/>
        </w:rPr>
        <w:t>The</w:t>
      </w:r>
      <w:r w:rsidR="004005BE" w:rsidRPr="0029175B">
        <w:rPr>
          <w:sz w:val="18"/>
          <w:szCs w:val="18"/>
          <w:lang w:val="en-GB"/>
        </w:rPr>
        <w:t xml:space="preserve"> EMA established in 2015 </w:t>
      </w:r>
      <w:r w:rsidRPr="0029175B">
        <w:rPr>
          <w:sz w:val="18"/>
          <w:szCs w:val="18"/>
          <w:lang w:val="en-GB"/>
        </w:rPr>
        <w:t>the Patient Registry Initiative</w:t>
      </w:r>
      <w:r w:rsidR="00017BE3">
        <w:rPr>
          <w:sz w:val="18"/>
          <w:szCs w:val="18"/>
          <w:lang w:val="en-GB"/>
        </w:rPr>
        <w:t xml:space="preserve"> and the </w:t>
      </w:r>
      <w:r w:rsidR="00017BE3" w:rsidRPr="00017BE3">
        <w:rPr>
          <w:sz w:val="18"/>
          <w:szCs w:val="18"/>
          <w:lang w:val="en-GB"/>
        </w:rPr>
        <w:t>Cross-Committee Task Force on registries</w:t>
      </w:r>
      <w:r w:rsidR="007A34E8" w:rsidRPr="0029175B">
        <w:rPr>
          <w:sz w:val="18"/>
          <w:szCs w:val="18"/>
          <w:lang w:val="en-GB"/>
        </w:rPr>
        <w:t xml:space="preserve"> </w:t>
      </w:r>
      <w:r w:rsidR="007A34E8" w:rsidRPr="0029175B">
        <w:rPr>
          <w:sz w:val="18"/>
          <w:szCs w:val="18"/>
          <w:lang w:val="en-GB"/>
        </w:rPr>
        <w:fldChar w:fldCharType="begin"/>
      </w:r>
      <w:r>
        <w:rPr>
          <w:sz w:val="18"/>
          <w:szCs w:val="18"/>
          <w:lang w:val="en-GB"/>
        </w:rPr>
        <w:instrText xml:space="preserve"> ADDIN ZOTERO_ITEM CSL_CITATION {"citationID":"a1fndo8g570","properties":{"formattedCitation":"(4)","plainCitation":"(4)"},"citationItems":[{"id":2244,"uris":["http://zotero.org/users/local/tAKp4fcl/items/M7NNASZZ"],"uri":["http://zotero.org/users/local/tAKp4fcl/items/M7NNASZZ"],"itemData":{"id":2244,"type":"webpage","title":"European Medicines Agency (EMA). Patient registries","URL":"https://www.ema.europa.eu/human-regulatory/post-authorisation/patient-registries","author":[{"literal":"European Medicines Agency (EMA)"}]}}],"schema":"https://github.com/citation-style-language/schema/raw/master/csl-citation.json"} </w:instrText>
      </w:r>
      <w:r w:rsidR="007A34E8" w:rsidRPr="0029175B">
        <w:rPr>
          <w:sz w:val="18"/>
          <w:szCs w:val="18"/>
          <w:lang w:val="en-GB"/>
        </w:rPr>
        <w:fldChar w:fldCharType="separate"/>
      </w:r>
      <w:r w:rsidR="007A34E8" w:rsidRPr="0029175B">
        <w:rPr>
          <w:sz w:val="18"/>
          <w:lang w:val="en-GB"/>
        </w:rPr>
        <w:t>(4)</w:t>
      </w:r>
      <w:r w:rsidR="007A34E8" w:rsidRPr="0029175B">
        <w:rPr>
          <w:sz w:val="18"/>
          <w:szCs w:val="18"/>
          <w:lang w:val="en-GB"/>
        </w:rPr>
        <w:fldChar w:fldCharType="end"/>
      </w:r>
      <w:r w:rsidR="004005BE" w:rsidRPr="0029175B">
        <w:rPr>
          <w:sz w:val="18"/>
          <w:szCs w:val="18"/>
          <w:lang w:val="en-GB"/>
        </w:rPr>
        <w:t xml:space="preserve"> to explore ways of expanding the use of </w:t>
      </w:r>
      <w:r w:rsidR="00C53C87" w:rsidRPr="0029175B">
        <w:rPr>
          <w:sz w:val="18"/>
          <w:szCs w:val="18"/>
          <w:lang w:val="en-GB"/>
        </w:rPr>
        <w:t>disease</w:t>
      </w:r>
      <w:r w:rsidR="004005BE" w:rsidRPr="0029175B">
        <w:rPr>
          <w:sz w:val="18"/>
          <w:szCs w:val="18"/>
          <w:lang w:val="en-GB"/>
        </w:rPr>
        <w:t xml:space="preserve"> registries by supporting a more systematic and standardised approach to their contribution to the benefit-risk evaluation of medicines. </w:t>
      </w:r>
      <w:r w:rsidR="005E4765" w:rsidRPr="0029175B">
        <w:rPr>
          <w:sz w:val="18"/>
          <w:szCs w:val="18"/>
          <w:lang w:val="en-GB"/>
        </w:rPr>
        <w:t xml:space="preserve">Discussions with registry </w:t>
      </w:r>
      <w:r w:rsidR="0021646E">
        <w:rPr>
          <w:sz w:val="18"/>
          <w:szCs w:val="18"/>
          <w:lang w:val="en-GB"/>
        </w:rPr>
        <w:t>coordinators</w:t>
      </w:r>
      <w:r w:rsidR="005E4765" w:rsidRPr="0029175B">
        <w:rPr>
          <w:sz w:val="18"/>
          <w:szCs w:val="18"/>
          <w:lang w:val="en-GB"/>
        </w:rPr>
        <w:t xml:space="preserve">, patient associations and pharmaceutical companies during the pilot phase of the </w:t>
      </w:r>
      <w:r w:rsidRPr="0029175B">
        <w:rPr>
          <w:sz w:val="18"/>
          <w:szCs w:val="18"/>
          <w:lang w:val="en-GB"/>
        </w:rPr>
        <w:t>Patient</w:t>
      </w:r>
      <w:r w:rsidR="005E4765" w:rsidRPr="0029175B">
        <w:rPr>
          <w:sz w:val="18"/>
          <w:szCs w:val="18"/>
          <w:lang w:val="en-GB"/>
        </w:rPr>
        <w:t xml:space="preserve"> Registry Initiative </w:t>
      </w:r>
      <w:r w:rsidR="00AF142D" w:rsidRPr="0029175B">
        <w:rPr>
          <w:rStyle w:val="Fett"/>
          <w:b w:val="0"/>
          <w:sz w:val="18"/>
          <w:szCs w:val="18"/>
          <w:lang w:val="en-GB"/>
        </w:rPr>
        <w:t xml:space="preserve">helped identify </w:t>
      </w:r>
      <w:r w:rsidR="00C53C87" w:rsidRPr="0029175B">
        <w:rPr>
          <w:rStyle w:val="Fett"/>
          <w:b w:val="0"/>
          <w:sz w:val="18"/>
          <w:szCs w:val="18"/>
          <w:lang w:val="en-GB"/>
        </w:rPr>
        <w:t>b</w:t>
      </w:r>
      <w:r w:rsidR="00AF142D" w:rsidRPr="0029175B">
        <w:rPr>
          <w:rStyle w:val="Fett"/>
          <w:b w:val="0"/>
          <w:sz w:val="18"/>
          <w:szCs w:val="18"/>
          <w:lang w:val="en-GB"/>
        </w:rPr>
        <w:t>arriers to the use of</w:t>
      </w:r>
      <w:r w:rsidR="004D51CC">
        <w:rPr>
          <w:rStyle w:val="Fett"/>
          <w:b w:val="0"/>
          <w:sz w:val="18"/>
          <w:szCs w:val="18"/>
          <w:lang w:val="en-GB"/>
        </w:rPr>
        <w:t xml:space="preserve"> disease</w:t>
      </w:r>
      <w:r w:rsidR="00AF142D" w:rsidRPr="0029175B">
        <w:rPr>
          <w:rStyle w:val="Fett"/>
          <w:b w:val="0"/>
          <w:sz w:val="18"/>
          <w:szCs w:val="18"/>
          <w:lang w:val="en-GB"/>
        </w:rPr>
        <w:t xml:space="preserve"> </w:t>
      </w:r>
      <w:r w:rsidR="004005BE" w:rsidRPr="0029175B">
        <w:rPr>
          <w:sz w:val="18"/>
          <w:szCs w:val="18"/>
          <w:lang w:val="en-GB"/>
        </w:rPr>
        <w:t>registries for regulatory purpose</w:t>
      </w:r>
      <w:r w:rsidR="00984813" w:rsidRPr="0029175B">
        <w:rPr>
          <w:sz w:val="18"/>
          <w:szCs w:val="18"/>
          <w:lang w:val="en-GB"/>
        </w:rPr>
        <w:t>s</w:t>
      </w:r>
      <w:r w:rsidR="00613C2B" w:rsidRPr="0029175B">
        <w:rPr>
          <w:sz w:val="18"/>
          <w:szCs w:val="18"/>
          <w:lang w:val="en-GB"/>
        </w:rPr>
        <w:t>. They included factors</w:t>
      </w:r>
      <w:r w:rsidR="002C2A1D" w:rsidRPr="0029175B">
        <w:rPr>
          <w:sz w:val="18"/>
          <w:szCs w:val="18"/>
          <w:lang w:val="en-GB"/>
        </w:rPr>
        <w:t xml:space="preserve"> such as </w:t>
      </w:r>
      <w:r w:rsidR="00AF142D" w:rsidRPr="0029175B">
        <w:rPr>
          <w:sz w:val="18"/>
          <w:szCs w:val="18"/>
          <w:lang w:val="en-GB"/>
        </w:rPr>
        <w:t xml:space="preserve">heterogeneity in the </w:t>
      </w:r>
      <w:r w:rsidR="002C2A1D" w:rsidRPr="0029175B">
        <w:rPr>
          <w:sz w:val="18"/>
          <w:szCs w:val="18"/>
          <w:lang w:val="en-GB"/>
        </w:rPr>
        <w:t xml:space="preserve">data collected by different registries on a same disease, </w:t>
      </w:r>
      <w:r w:rsidR="004005BE" w:rsidRPr="0029175B">
        <w:rPr>
          <w:sz w:val="18"/>
          <w:szCs w:val="18"/>
          <w:lang w:val="en-GB"/>
        </w:rPr>
        <w:t>inconsistent quality assurance in registry processes and</w:t>
      </w:r>
      <w:r w:rsidR="004B79F9" w:rsidRPr="0029175B">
        <w:rPr>
          <w:sz w:val="18"/>
          <w:szCs w:val="18"/>
          <w:lang w:val="en-GB"/>
        </w:rPr>
        <w:t xml:space="preserve"> </w:t>
      </w:r>
      <w:r w:rsidR="004005BE" w:rsidRPr="0029175B">
        <w:rPr>
          <w:sz w:val="18"/>
          <w:szCs w:val="18"/>
          <w:lang w:val="en-GB"/>
        </w:rPr>
        <w:t>verification of data</w:t>
      </w:r>
      <w:r w:rsidR="00673C9A" w:rsidRPr="0029175B">
        <w:rPr>
          <w:sz w:val="18"/>
          <w:szCs w:val="18"/>
          <w:lang w:val="en-GB"/>
        </w:rPr>
        <w:t>,</w:t>
      </w:r>
      <w:r w:rsidR="004005BE" w:rsidRPr="0029175B">
        <w:rPr>
          <w:sz w:val="18"/>
          <w:szCs w:val="18"/>
          <w:lang w:val="en-GB"/>
        </w:rPr>
        <w:t xml:space="preserve"> restricted access</w:t>
      </w:r>
      <w:r w:rsidR="00673C9A" w:rsidRPr="0029175B">
        <w:rPr>
          <w:sz w:val="18"/>
          <w:szCs w:val="18"/>
          <w:lang w:val="en-GB"/>
        </w:rPr>
        <w:t>,</w:t>
      </w:r>
      <w:r w:rsidR="004005BE" w:rsidRPr="0029175B">
        <w:rPr>
          <w:sz w:val="18"/>
          <w:szCs w:val="18"/>
          <w:lang w:val="en-GB"/>
        </w:rPr>
        <w:t xml:space="preserve"> </w:t>
      </w:r>
      <w:r w:rsidR="00673C9A" w:rsidRPr="0029175B">
        <w:rPr>
          <w:sz w:val="18"/>
          <w:szCs w:val="18"/>
          <w:lang w:val="en-GB"/>
        </w:rPr>
        <w:t>obstacles to</w:t>
      </w:r>
      <w:r w:rsidR="004005BE" w:rsidRPr="0029175B">
        <w:rPr>
          <w:sz w:val="18"/>
          <w:szCs w:val="18"/>
          <w:lang w:val="en-GB"/>
        </w:rPr>
        <w:t xml:space="preserve"> data sharing</w:t>
      </w:r>
      <w:r w:rsidRPr="0029175B">
        <w:rPr>
          <w:sz w:val="18"/>
          <w:szCs w:val="18"/>
          <w:lang w:val="en-GB"/>
        </w:rPr>
        <w:t>,</w:t>
      </w:r>
      <w:r w:rsidR="004B79F9" w:rsidRPr="0029175B">
        <w:rPr>
          <w:sz w:val="18"/>
          <w:szCs w:val="18"/>
          <w:lang w:val="en-GB"/>
        </w:rPr>
        <w:t xml:space="preserve"> </w:t>
      </w:r>
      <w:r w:rsidR="00673C9A" w:rsidRPr="0029175B">
        <w:rPr>
          <w:sz w:val="18"/>
          <w:szCs w:val="18"/>
          <w:lang w:val="en-GB"/>
        </w:rPr>
        <w:t xml:space="preserve">lack of </w:t>
      </w:r>
      <w:r w:rsidR="004005BE" w:rsidRPr="0029175B">
        <w:rPr>
          <w:sz w:val="18"/>
          <w:szCs w:val="18"/>
          <w:lang w:val="en-GB"/>
        </w:rPr>
        <w:t xml:space="preserve">transparency and </w:t>
      </w:r>
      <w:r w:rsidRPr="0029175B">
        <w:rPr>
          <w:sz w:val="18"/>
          <w:szCs w:val="18"/>
          <w:lang w:val="en-GB"/>
        </w:rPr>
        <w:t xml:space="preserve">lack of </w:t>
      </w:r>
      <w:r w:rsidR="004005BE" w:rsidRPr="0029175B">
        <w:rPr>
          <w:sz w:val="18"/>
          <w:szCs w:val="18"/>
          <w:lang w:val="en-GB"/>
        </w:rPr>
        <w:t>sustainability.</w:t>
      </w:r>
      <w:r w:rsidR="00984813" w:rsidRPr="0029175B">
        <w:rPr>
          <w:sz w:val="18"/>
          <w:szCs w:val="18"/>
          <w:lang w:val="en-GB"/>
        </w:rPr>
        <w:t xml:space="preserve"> </w:t>
      </w:r>
    </w:p>
    <w:p w:rsidR="000F2CDE" w:rsidRDefault="00D64049">
      <w:pPr>
        <w:rPr>
          <w:rFonts w:eastAsia="Verdana" w:cs="Arial"/>
          <w:b/>
          <w:bCs/>
          <w:kern w:val="32"/>
          <w:sz w:val="27"/>
          <w:szCs w:val="27"/>
        </w:rPr>
      </w:pPr>
      <w:r>
        <w:br w:type="page"/>
      </w:r>
    </w:p>
    <w:p w:rsidR="002A2D3A" w:rsidRPr="0029175B" w:rsidRDefault="00D64049" w:rsidP="002A2D3A">
      <w:pPr>
        <w:pStyle w:val="Heading1Agency"/>
      </w:pPr>
      <w:bookmarkStart w:id="71" w:name="_Toc528934919"/>
      <w:r w:rsidRPr="0029175B">
        <w:lastRenderedPageBreak/>
        <w:t>Objective</w:t>
      </w:r>
      <w:bookmarkEnd w:id="71"/>
    </w:p>
    <w:p w:rsidR="002A2D3A" w:rsidRDefault="00D64049" w:rsidP="002A2D3A">
      <w:pPr>
        <w:spacing w:after="140" w:line="280" w:lineRule="exact"/>
      </w:pPr>
      <w:r w:rsidRPr="0029175B">
        <w:t xml:space="preserve">The objective of this paper is to </w:t>
      </w:r>
      <w:r w:rsidR="00154DE3">
        <w:t>discuss</w:t>
      </w:r>
      <w:r w:rsidR="00154DE3" w:rsidRPr="0029175B">
        <w:t xml:space="preserve"> </w:t>
      </w:r>
      <w:r w:rsidRPr="0029175B">
        <w:t>methodologi</w:t>
      </w:r>
      <w:r w:rsidR="000F2CDE">
        <w:t xml:space="preserve">cal </w:t>
      </w:r>
      <w:r w:rsidR="00154DE3">
        <w:t>and operational aspects</w:t>
      </w:r>
      <w:r w:rsidR="000F2CDE">
        <w:t xml:space="preserve"> </w:t>
      </w:r>
      <w:r w:rsidR="00154DE3">
        <w:t xml:space="preserve">of </w:t>
      </w:r>
      <w:r w:rsidR="000F2CDE">
        <w:t>patient</w:t>
      </w:r>
      <w:r w:rsidR="00D165FF" w:rsidRPr="0029175B">
        <w:t xml:space="preserve"> </w:t>
      </w:r>
      <w:r w:rsidR="000C03B2">
        <w:t xml:space="preserve">disease </w:t>
      </w:r>
      <w:r w:rsidRPr="0029175B">
        <w:t xml:space="preserve">registries. It focuses on important principles from a regulatory perspective and makes proposals on what </w:t>
      </w:r>
      <w:r w:rsidR="00154DE3">
        <w:t>might be</w:t>
      </w:r>
      <w:r w:rsidR="00154DE3" w:rsidRPr="0029175B">
        <w:t xml:space="preserve"> </w:t>
      </w:r>
      <w:r w:rsidRPr="0029175B">
        <w:t>considered</w:t>
      </w:r>
      <w:r w:rsidR="0009138E">
        <w:t xml:space="preserve"> </w:t>
      </w:r>
      <w:r w:rsidRPr="0029175B">
        <w:t xml:space="preserve">good registry practice to support </w:t>
      </w:r>
      <w:r w:rsidR="0009138E">
        <w:t xml:space="preserve">the </w:t>
      </w:r>
      <w:r w:rsidR="00DB00A2" w:rsidRPr="0029175B">
        <w:t>collection</w:t>
      </w:r>
      <w:r w:rsidRPr="0029175B">
        <w:t xml:space="preserve"> of high quality registry data</w:t>
      </w:r>
      <w:r w:rsidR="00017BE3">
        <w:t xml:space="preserve">. </w:t>
      </w:r>
      <w:r w:rsidR="00DB00A2" w:rsidRPr="0029175B">
        <w:t xml:space="preserve">This paper </w:t>
      </w:r>
      <w:r w:rsidR="00154DE3">
        <w:t xml:space="preserve">also </w:t>
      </w:r>
      <w:r w:rsidR="00DB00A2" w:rsidRPr="0029175B">
        <w:t xml:space="preserve">discusses important methodological aspects of studies performed with registry data to </w:t>
      </w:r>
      <w:r w:rsidRPr="0029175B">
        <w:t>increase regulators’ confidence in their results.</w:t>
      </w:r>
    </w:p>
    <w:p w:rsidR="0016440C" w:rsidRDefault="00D64049" w:rsidP="002A2D3A">
      <w:pPr>
        <w:spacing w:after="140" w:line="280" w:lineRule="exact"/>
      </w:pPr>
      <w:r>
        <w:t>The</w:t>
      </w:r>
      <w:r w:rsidR="00C12847">
        <w:t xml:space="preserve"> main focus of this document is on patient disease registries,</w:t>
      </w:r>
      <w:r>
        <w:t xml:space="preserve"> but</w:t>
      </w:r>
      <w:r w:rsidR="00C12847">
        <w:t xml:space="preserve"> many of the considerations presented also apply to patient product registries or to registries of patients defined by specific conditions such as age, pregnant status or other patient characteristics. </w:t>
      </w:r>
    </w:p>
    <w:p w:rsidR="00560A58" w:rsidRDefault="00D64049" w:rsidP="002A2D3A">
      <w:pPr>
        <w:spacing w:after="140" w:line="280" w:lineRule="exact"/>
      </w:pPr>
      <w:r w:rsidRPr="00560A58">
        <w:t>This</w:t>
      </w:r>
      <w:r w:rsidR="00313C91">
        <w:t xml:space="preserve"> discussion</w:t>
      </w:r>
      <w:r w:rsidR="00553483">
        <w:t xml:space="preserve"> paper reflects</w:t>
      </w:r>
      <w:r w:rsidRPr="00560A58">
        <w:t xml:space="preserve"> recommendations arising from the EMA Patient Registries Workshop</w:t>
      </w:r>
      <w:r w:rsidR="00861617">
        <w:t xml:space="preserve"> </w:t>
      </w:r>
      <w:r w:rsidR="00861617">
        <w:fldChar w:fldCharType="begin"/>
      </w:r>
      <w:r w:rsidR="00861617">
        <w:instrText xml:space="preserve"> ADDIN ZOTERO_ITEM CSL_CITATION {"citationID":"a1rui5dpjhl","properties":{"formattedCitation":"(5)","plainCitation":"(5)"},"citationItems":[{"id":2240,"uris":["http://zotero.org/users/local/tAKp4fcl/items/6R56S7U7"],"uri":["http://zotero.org/users/local/tAKp4fcl/items/6R56S7U7"],"itemData":{"id":2240,"type":"article","title":"Patient Registries Workshop, 28 October 2016 - Observations and recommendations arising from the workshop. EMA/69716/2017","URL":"http://www.ema.europa.eu/docs/en_GB/document_library/Report/2017/02/WC500221618.pdf","author":[{"literal":"European Medicines Agency (EMA)"}],"issued":{"date-parts":[["2017",2,13]]}}}],"schema":"https://github.com/citation-style-language/schema/raw/master/csl-citation.json"} </w:instrText>
      </w:r>
      <w:r w:rsidR="00861617">
        <w:fldChar w:fldCharType="separate"/>
      </w:r>
      <w:r w:rsidR="00861617" w:rsidRPr="00861617">
        <w:t>(5)</w:t>
      </w:r>
      <w:r w:rsidR="00861617">
        <w:fldChar w:fldCharType="end"/>
      </w:r>
      <w:r w:rsidR="00313C91">
        <w:t>,</w:t>
      </w:r>
      <w:r w:rsidRPr="00560A58">
        <w:t xml:space="preserve"> from the four product-specific workshops on registries for cystic fibrosis</w:t>
      </w:r>
      <w:r w:rsidR="00861617">
        <w:t xml:space="preserve"> </w:t>
      </w:r>
      <w:r w:rsidR="00861617">
        <w:fldChar w:fldCharType="begin"/>
      </w:r>
      <w:r w:rsidR="00861617">
        <w:instrText xml:space="preserve"> ADDIN ZOTERO_ITEM CSL_CITATION {"citationID":"ao3viun1aj","properties":{"formattedCitation":"(6)","plainCitation":"(6)"},"citationItems":[{"id":2213,"uris":["http://zotero.org/users/local/tAKp4fcl/items/Z32MBVGG"],"uri":["http://zotero.org/users/local/tAKp4fcl/items/Z32MBVGG"],"itemData":{"id":2213,"type":"article","title":"Report on Cystic Fibrosis Registries - Workshop 14 June 2017. Patient Registries Initiative. EMA/510601/2017","URL":"http://www.ema.europa.eu/docs/en_GB/document_library/Report/2017/10/WC500236631.pdf","author":[{"literal":"European Medicines Agency (EMA)"}],"issued":{"date-parts":[["2017",9,15]]}}}],"schema":"https://github.com/citation-style-language/schema/raw/master/csl-citation.json"} </w:instrText>
      </w:r>
      <w:r w:rsidR="00861617">
        <w:fldChar w:fldCharType="separate"/>
      </w:r>
      <w:r w:rsidR="00861617" w:rsidRPr="00861617">
        <w:t>(6)</w:t>
      </w:r>
      <w:r w:rsidR="00861617">
        <w:fldChar w:fldCharType="end"/>
      </w:r>
      <w:r w:rsidRPr="00560A58">
        <w:t>, multiple sclerosis</w:t>
      </w:r>
      <w:r w:rsidR="00861617">
        <w:t xml:space="preserve"> </w:t>
      </w:r>
      <w:r w:rsidR="00861617">
        <w:fldChar w:fldCharType="begin"/>
      </w:r>
      <w:r w:rsidR="00861617">
        <w:instrText xml:space="preserve"> ADDIN ZOTERO_ITEM CSL_CITATION {"citationID":"a18g0vjkdm8","properties":{"formattedCitation":"(7)","plainCitation":"(7)"},"citationItems":[{"id":2241,"uris":["http://zotero.org/users/local/tAKp4fcl/items/WCM4PCET"],"uri":["http://zotero.org/users/local/tAKp4fcl/items/WCM4PCET"],"itemData":{"id":2241,"type":"article","title":"Report on Multiple Sclerosis Registries - Workshop 7 July 2017. Patient Registries Initiative. EMA/548474/2017","URL":"http://www.ema.europa.eu/docs/en_GB/document_library/Report/2017/10/WC500236644.pdf","author":[{"literal":"European Medicines Agency (EMA)"}],"issued":{"date-parts":[["2017",10,9]]}}}],"schema":"https://github.com/citation-style-language/schema/raw/master/csl-citation.json"} </w:instrText>
      </w:r>
      <w:r w:rsidR="00861617">
        <w:fldChar w:fldCharType="separate"/>
      </w:r>
      <w:r w:rsidR="00861617" w:rsidRPr="00861617">
        <w:t>(7)</w:t>
      </w:r>
      <w:r w:rsidR="00861617">
        <w:fldChar w:fldCharType="end"/>
      </w:r>
      <w:r w:rsidRPr="00560A58">
        <w:t xml:space="preserve">, CAR-T cell products </w:t>
      </w:r>
      <w:r w:rsidR="00861617">
        <w:fldChar w:fldCharType="begin"/>
      </w:r>
      <w:r w:rsidR="00861617">
        <w:instrText xml:space="preserve"> ADDIN ZOTERO_ITEM CSL_CITATION {"citationID":"a1ck08toldu","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sidR="00861617">
        <w:fldChar w:fldCharType="separate"/>
      </w:r>
      <w:r w:rsidR="00861617" w:rsidRPr="00861617">
        <w:t>(8)</w:t>
      </w:r>
      <w:r w:rsidR="00861617">
        <w:fldChar w:fldCharType="end"/>
      </w:r>
      <w:r w:rsidRPr="00560A58">
        <w:t xml:space="preserve"> and haemophilia products</w:t>
      </w:r>
      <w:r w:rsidR="00861617">
        <w:t xml:space="preserve"> </w:t>
      </w:r>
      <w:r w:rsidR="00861617">
        <w:fldChar w:fldCharType="begin"/>
      </w:r>
      <w:r w:rsidR="00861617">
        <w:instrText xml:space="preserve"> ADDIN ZOTERO_ITEM CSL_CITATION {"citationID":"av01os0b62","properties":{"formattedCitation":"(9)","plainCitation":"(9)"},"citationItems":[{"id":2301,"uris":["http://zotero.org/users/local/tAKp4fcl/items/HC4BLEFE"],"uri":["http://zotero.org/users/local/tAKp4fcl/items/HC4BLEFE"],"itemData":{"id":2301,"type":"article","title":"Report on Haemophilia Registies - Workshop 8  June 2018. Patient Registries Initiative. EMA/487643/2018","URL":"https://www.ema.europa.eu/documents/report/report-haemophilia-registries-workshop_en.pdf","author":[{"literal":"European Medicines Agency (EMA)"}]}}],"schema":"https://github.com/citation-style-language/schema/raw/master/csl-citation.json"} </w:instrText>
      </w:r>
      <w:r w:rsidR="00861617">
        <w:fldChar w:fldCharType="separate"/>
      </w:r>
      <w:r w:rsidR="00861617" w:rsidRPr="00861617">
        <w:t>(9)</w:t>
      </w:r>
      <w:r w:rsidR="00861617">
        <w:fldChar w:fldCharType="end"/>
      </w:r>
      <w:r w:rsidRPr="00560A58">
        <w:t>, from the Qualification opinion on the European Cystic Fibrosis Society Patient Registry (ECFSPR)</w:t>
      </w:r>
      <w:r w:rsidR="00861617">
        <w:t xml:space="preserve"> </w:t>
      </w:r>
      <w:r w:rsidR="00861617">
        <w:fldChar w:fldCharType="begin"/>
      </w:r>
      <w:r w:rsidR="00861617">
        <w:instrText xml:space="preserve"> ADDIN ZOTERO_ITEM CSL_CITATION {"citationID":"a1qc639el65","properties":{"formattedCitation":"(10)","plainCitation":"(10)"},"citationItems":[{"id":2290,"uris":["http://zotero.org/users/local/tAKp4fcl/items/WQVGYI6X"],"uri":["http://zotero.org/users/local/tAKp4fcl/items/WQVGYI6X"],"itemData":{"id":2290,"type":"article","title":"Qualification opinion - The European Cystic Fibrosis Society Patient Registry (ECFSPR). EMA/CHMP/SAWP/802259/2017","URL":"https://www.ema.europa.eu/documents/regulatory-procedural-guideline/qualification-opinion-european-cystic-fibrosis-society-patient-registry-ecfspr_en.pdf","author":[{"literal":"European Medicines Agency (EMA)"}]}}],"schema":"https://github.com/citation-style-language/schema/raw/master/csl-citation.json"} </w:instrText>
      </w:r>
      <w:r w:rsidR="00861617">
        <w:fldChar w:fldCharType="separate"/>
      </w:r>
      <w:r w:rsidR="00861617" w:rsidRPr="00861617">
        <w:t>(10)</w:t>
      </w:r>
      <w:r w:rsidR="00861617">
        <w:fldChar w:fldCharType="end"/>
      </w:r>
      <w:r w:rsidR="00313C91">
        <w:t>, from</w:t>
      </w:r>
      <w:r w:rsidRPr="00560A58">
        <w:t xml:space="preserve"> the Draft qualification opinion on the Cellular therapy module of the European Society for Blood &amp; Marrow Transplantation (EBMT) Registry</w:t>
      </w:r>
      <w:r w:rsidR="00861617">
        <w:t xml:space="preserve"> </w:t>
      </w:r>
      <w:r w:rsidR="00861617">
        <w:fldChar w:fldCharType="begin"/>
      </w:r>
      <w:r w:rsidR="00861617">
        <w:instrText xml:space="preserve"> ADDIN ZOTERO_ITEM CSL_CITATION {"citationID":"a2miua47pna","properties":{"formattedCitation":"(11)","plainCitation":"(11)"},"citationItems":[{"id":2229,"uris":["http://zotero.org/users/local/tAKp4fcl/items/DR4KSIVH"],"uri":["http://zotero.org/users/local/tAKp4fcl/items/DR4KSIVH"],"itemData":{"id":2229,"type":"article","title":"Draft qualification opinion on Cellular therapy module of the European Society for Blood &amp; Marrow Transplantation (EBMT) Registry. EMA/CHMP/SAWP/423488/2018","URL":"https://www.ema.europa.eu/documents/regulatory-procedural-guideline/draft-qualification-opinion-cellular-therapy-module-european-society-blood-marrow-transplantation_en.pdf","author":[{"literal":"European Medicines Agency (EMA)"}]}}],"schema":"https://github.com/citation-style-language/schema/raw/master/csl-citation.json"} </w:instrText>
      </w:r>
      <w:r w:rsidR="00861617">
        <w:fldChar w:fldCharType="separate"/>
      </w:r>
      <w:r w:rsidR="00861617" w:rsidRPr="00861617">
        <w:t>(11)</w:t>
      </w:r>
      <w:r w:rsidR="00861617">
        <w:fldChar w:fldCharType="end"/>
      </w:r>
      <w:r w:rsidRPr="00560A58">
        <w:t xml:space="preserve">, and from existing guidance published in the PARENT Joint Action Methodological Guidance </w:t>
      </w:r>
      <w:r>
        <w:fldChar w:fldCharType="begin"/>
      </w:r>
      <w:r>
        <w:instrText xml:space="preserve"> ADDIN ZOTERO_ITEM CSL_CITATION {"citationID":"agr110mhkq","properties":{"formattedCitation":"(12)","plainCitation":"(12)"},"citationItems":[{"id":331,"uris":["http://zotero.org/users/local/tAKp4fcl/items/QVCRIV5U"],"uri":["http://zotero.org/users/local/tAKp4fcl/items/QVCRIV5U"],"itemData":{"id":331,"type":"article-journal","title":"PARENT joint action: increasing the added value of patient registries in a cross-border setting.","container-title":"Studies in health technology and informatics","page":"1161-1161","volume":"192","abstract":"Patient registries are poorly interoperable and as a result data exchange or aggregation across organizations, regions and countries for secondary purposes (i.e. research and public health) is difficult to perform. PARENT Joint Action aims to provide EU Member States with a set of guidelines, recommendations and tools to support setting-up, management and governance of interoperable patient registries, thus helping EU Member States to drive down cost and interoperability risks of patient registries as well as improving secondary us-age of registry data in a cross-border setting.","language":"eng","author":[{"family":"Meglic","given":"Matic"},{"family":"Doupi","given":"Persephone"},{"family":"Pristas","given":"Ivan"},{"family":"Skalkidis","given":"Yannis"},{"family":"Zaletel","given":"Metka"},{"family":"Orel","given":"Andrej"}],"issued":{"date-parts":[["2013"]]}}}],"schema":"https://github.com/citation-style-language/schema/raw/master/csl-citation.json"} </w:instrText>
      </w:r>
      <w:r>
        <w:fldChar w:fldCharType="separate"/>
      </w:r>
      <w:r w:rsidRPr="009A6DAF">
        <w:t>(12)</w:t>
      </w:r>
      <w:r>
        <w:fldChar w:fldCharType="end"/>
      </w:r>
      <w:r w:rsidRPr="00560A58">
        <w:t xml:space="preserve"> and the US Agency for Healthcare Research and Quality (AHRQ)’s handbook</w:t>
      </w:r>
      <w:r w:rsidR="005E2E45">
        <w:t xml:space="preserve"> </w:t>
      </w:r>
      <w:r w:rsidR="005E2E45">
        <w:fldChar w:fldCharType="begin"/>
      </w:r>
      <w:r w:rsidR="005E2E45">
        <w:instrText xml:space="preserve"> ADDIN ZOTERO_ITEM CSL_CITATION {"citationID":"a1ga56a959m","properties":{"formattedCitation":"(13)","plainCitation":"(13)"},"citationItems":[{"id":2185,"uris":["http://zotero.org/users/local/tAKp4fcl/items/5RDLJSCI"],"uri":["http://zotero.org/users/local/tAKp4fcl/items/5RDLJSCI"],"itemData":{"id":2185,"type":"book","title":"Registries for Evaluating Patient Outcomes: A User’s Guide. (Prepared by Outcome DEcIDE Center [Outcome Sciences, Inc. dba Outcome]","publisher":"Rockville, MD: Agency for Healthcare Research and Quality.","volume":"Prepared by Outcome DEcIDE Center [Outcome Sciences, Inc. dba Outcome] under Contract No. HHSA29020050035I TO1.) AHRQ Publication No. 07-EHC001-1.","URL":"https://effectivehealthcare.ahrq.gov/sites/default/files/pdf/registries-guide_research.pdf","author":[{"literal":"Gliklich RE"},{"literal":"Dreyer NA"},{"literal":"eds"}],"issued":{"date-parts":[["2007",4]]}}}],"schema":"https://github.com/citation-style-language/schema/raw/master/csl-citation.json"} </w:instrText>
      </w:r>
      <w:r w:rsidR="005E2E45">
        <w:fldChar w:fldCharType="separate"/>
      </w:r>
      <w:r w:rsidR="005E2E45" w:rsidRPr="005E2E45">
        <w:t>(13)</w:t>
      </w:r>
      <w:r w:rsidR="005E2E45">
        <w:fldChar w:fldCharType="end"/>
      </w:r>
      <w:r w:rsidRPr="00560A58">
        <w:t xml:space="preserve">. The latter documents provide practical information on the design, operation and analysis of patient registries. This information will not be repeated here but some aspects important for regulators are emphasised. The document also integrates some recommendations from the ENCePP Guide on Methodological Standards in Pharmacoepidemiology </w:t>
      </w:r>
      <w:r>
        <w:fldChar w:fldCharType="begin"/>
      </w:r>
      <w:r w:rsidR="005E2E45">
        <w:instrText xml:space="preserve"> ADDIN ZOTERO_ITEM CSL_CITATION {"citationID":"a25eerd6up1","properties":{"formattedCitation":"(14)","plainCitation":"(14)"},"citationItems":[{"id":2254,"uris":["http://zotero.org/users/local/tAKp4fcl/items/ZMZXWB4T"],"uri":["http://zotero.org/users/local/tAKp4fcl/items/ZMZXWB4T"],"itemData":{"id":2254,"type":"webpage","title":"ENCePP Guide on Methodological Standards in Pharmacoepidemiology","URL":"http://www.encepp.eu/standards_and_guidances/methodologicalGuide.shtml","author":[{"literal":"ENCePP, European Network of Centres for Pharmacoepidemiology and Pharmacovigilance"}]}}],"schema":"https://github.com/citation-style-language/schema/raw/master/csl-citation.json"} </w:instrText>
      </w:r>
      <w:r>
        <w:fldChar w:fldCharType="separate"/>
      </w:r>
      <w:r w:rsidR="005E2E45" w:rsidRPr="005E2E45">
        <w:t>(14)</w:t>
      </w:r>
      <w:r>
        <w:fldChar w:fldCharType="end"/>
      </w:r>
      <w:r w:rsidRPr="00560A58">
        <w:t xml:space="preserve"> </w:t>
      </w:r>
      <w:r w:rsidR="00762111">
        <w:t xml:space="preserve">and the ENCePP Code of Conduct </w:t>
      </w:r>
      <w:r w:rsidR="00762111">
        <w:fldChar w:fldCharType="begin"/>
      </w:r>
      <w:r w:rsidR="005E2E45">
        <w:instrText xml:space="preserve"> ADDIN ZOTERO_ITEM CSL_CITATION {"citationID":"a11p057b779","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762111">
        <w:fldChar w:fldCharType="separate"/>
      </w:r>
      <w:r w:rsidR="005E2E45" w:rsidRPr="005E2E45">
        <w:t>(15)</w:t>
      </w:r>
      <w:r w:rsidR="00762111">
        <w:fldChar w:fldCharType="end"/>
      </w:r>
      <w:r w:rsidRPr="00560A58">
        <w:t>.</w:t>
      </w:r>
    </w:p>
    <w:p w:rsidR="0016440C" w:rsidRDefault="00D64049">
      <w:r>
        <w:br w:type="page"/>
      </w:r>
    </w:p>
    <w:p w:rsidR="00AD4CBC" w:rsidRPr="0029175B" w:rsidRDefault="00D64049" w:rsidP="00AD4CBC">
      <w:pPr>
        <w:pStyle w:val="Heading1Agency"/>
      </w:pPr>
      <w:bookmarkStart w:id="72" w:name="_Toc527730435"/>
      <w:bookmarkStart w:id="73" w:name="_Toc527799567"/>
      <w:bookmarkStart w:id="74" w:name="_Toc527799746"/>
      <w:bookmarkStart w:id="75" w:name="_Toc528934920"/>
      <w:bookmarkEnd w:id="72"/>
      <w:bookmarkEnd w:id="73"/>
      <w:bookmarkEnd w:id="74"/>
      <w:r w:rsidRPr="0029175B">
        <w:lastRenderedPageBreak/>
        <w:t>Core concepts</w:t>
      </w:r>
      <w:bookmarkEnd w:id="75"/>
    </w:p>
    <w:p w:rsidR="00D165FF" w:rsidRPr="0029175B" w:rsidRDefault="00D64049" w:rsidP="00D165FF">
      <w:pPr>
        <w:pStyle w:val="Heading2Agency"/>
      </w:pPr>
      <w:bookmarkStart w:id="76" w:name="_Toc528934921"/>
      <w:r w:rsidRPr="0029175B">
        <w:t>Definitions</w:t>
      </w:r>
      <w:bookmarkEnd w:id="76"/>
    </w:p>
    <w:p w:rsidR="00D165FF" w:rsidRPr="0029175B" w:rsidRDefault="00D64049" w:rsidP="00AD4CBC">
      <w:pPr>
        <w:pStyle w:val="Default"/>
        <w:spacing w:after="140" w:line="280" w:lineRule="exact"/>
        <w:rPr>
          <w:sz w:val="18"/>
          <w:szCs w:val="18"/>
          <w:lang w:val="en-GB"/>
        </w:rPr>
      </w:pPr>
      <w:r w:rsidRPr="0029175B">
        <w:rPr>
          <w:sz w:val="18"/>
          <w:szCs w:val="18"/>
          <w:lang w:val="en-GB"/>
        </w:rPr>
        <w:t>This section provides definitions for specific terms used in the text.</w:t>
      </w:r>
    </w:p>
    <w:p w:rsidR="003112DE" w:rsidRPr="0029175B" w:rsidRDefault="00D64049" w:rsidP="00E92134">
      <w:pPr>
        <w:pStyle w:val="Default"/>
        <w:numPr>
          <w:ilvl w:val="0"/>
          <w:numId w:val="30"/>
        </w:numPr>
        <w:spacing w:after="140" w:line="280" w:lineRule="exact"/>
        <w:rPr>
          <w:rStyle w:val="Fett"/>
          <w:b w:val="0"/>
          <w:sz w:val="18"/>
          <w:szCs w:val="18"/>
          <w:lang w:val="en-GB"/>
        </w:rPr>
      </w:pPr>
      <w:r w:rsidRPr="0029175B">
        <w:rPr>
          <w:i/>
          <w:sz w:val="18"/>
          <w:szCs w:val="18"/>
          <w:lang w:val="en-GB"/>
        </w:rPr>
        <w:t>P</w:t>
      </w:r>
      <w:r w:rsidR="00950368" w:rsidRPr="0029175B">
        <w:rPr>
          <w:i/>
          <w:sz w:val="18"/>
          <w:szCs w:val="18"/>
          <w:lang w:val="en-GB"/>
        </w:rPr>
        <w:t>atient registry</w:t>
      </w:r>
      <w:r w:rsidRPr="0029175B">
        <w:rPr>
          <w:i/>
          <w:sz w:val="18"/>
          <w:szCs w:val="18"/>
          <w:lang w:val="en-GB"/>
        </w:rPr>
        <w:t>:</w:t>
      </w:r>
      <w:r w:rsidR="00950368" w:rsidRPr="0029175B">
        <w:rPr>
          <w:sz w:val="18"/>
          <w:szCs w:val="18"/>
          <w:lang w:val="en-GB"/>
        </w:rPr>
        <w:t xml:space="preserve"> </w:t>
      </w:r>
      <w:r w:rsidR="00950368" w:rsidRPr="0029175B">
        <w:rPr>
          <w:rStyle w:val="Fett"/>
          <w:b w:val="0"/>
          <w:sz w:val="18"/>
          <w:szCs w:val="18"/>
          <w:lang w:val="en-GB"/>
        </w:rPr>
        <w:t xml:space="preserve">organised system that uses observational methods to collect uniform data on a patient population defined by a particular disease, </w:t>
      </w:r>
      <w:r w:rsidR="00E92134" w:rsidRPr="00E92134">
        <w:rPr>
          <w:rStyle w:val="Fett"/>
          <w:b w:val="0"/>
          <w:sz w:val="18"/>
          <w:szCs w:val="18"/>
          <w:lang w:val="en-GB"/>
        </w:rPr>
        <w:t>exposure or condition (e.g. age, pregnancy, specific patient characteristics)</w:t>
      </w:r>
      <w:r w:rsidR="00551E63">
        <w:rPr>
          <w:rStyle w:val="Fett"/>
          <w:b w:val="0"/>
          <w:sz w:val="18"/>
          <w:szCs w:val="18"/>
          <w:lang w:val="en-GB"/>
        </w:rPr>
        <w:t>,</w:t>
      </w:r>
      <w:r w:rsidR="00950368" w:rsidRPr="0029175B">
        <w:rPr>
          <w:rStyle w:val="Fett"/>
          <w:b w:val="0"/>
          <w:sz w:val="18"/>
          <w:szCs w:val="18"/>
          <w:lang w:val="en-GB"/>
        </w:rPr>
        <w:t xml:space="preserve"> and </w:t>
      </w:r>
      <w:r w:rsidR="00551E63">
        <w:rPr>
          <w:rStyle w:val="Fett"/>
          <w:b w:val="0"/>
          <w:sz w:val="18"/>
          <w:szCs w:val="18"/>
          <w:lang w:val="en-GB"/>
        </w:rPr>
        <w:t>which</w:t>
      </w:r>
      <w:r w:rsidR="00551E63" w:rsidRPr="0029175B">
        <w:rPr>
          <w:rStyle w:val="Fett"/>
          <w:b w:val="0"/>
          <w:sz w:val="18"/>
          <w:szCs w:val="18"/>
          <w:lang w:val="en-GB"/>
        </w:rPr>
        <w:t xml:space="preserve"> </w:t>
      </w:r>
      <w:r w:rsidR="00950368" w:rsidRPr="0029175B">
        <w:rPr>
          <w:rStyle w:val="Fett"/>
          <w:b w:val="0"/>
          <w:sz w:val="18"/>
          <w:szCs w:val="18"/>
          <w:lang w:val="en-GB"/>
        </w:rPr>
        <w:t xml:space="preserve">is followed over time. </w:t>
      </w:r>
    </w:p>
    <w:p w:rsidR="003112DE" w:rsidRPr="00121F75" w:rsidRDefault="00D64049" w:rsidP="003112DE">
      <w:pPr>
        <w:pStyle w:val="Default"/>
        <w:spacing w:after="140" w:line="280" w:lineRule="exact"/>
        <w:ind w:left="360"/>
        <w:rPr>
          <w:rStyle w:val="Fett"/>
          <w:b w:val="0"/>
          <w:sz w:val="18"/>
          <w:szCs w:val="18"/>
          <w:lang w:val="en-GB"/>
        </w:rPr>
      </w:pPr>
      <w:r w:rsidRPr="0029175B">
        <w:rPr>
          <w:rStyle w:val="Fett"/>
          <w:b w:val="0"/>
          <w:sz w:val="18"/>
          <w:szCs w:val="18"/>
          <w:lang w:val="en-GB"/>
        </w:rPr>
        <w:t>It is the</w:t>
      </w:r>
      <w:r w:rsidR="00950368" w:rsidRPr="0029175B">
        <w:rPr>
          <w:rStyle w:val="Fett"/>
          <w:b w:val="0"/>
          <w:sz w:val="18"/>
          <w:szCs w:val="18"/>
          <w:lang w:val="en-GB"/>
        </w:rPr>
        <w:t xml:space="preserve"> occurrence of an event that determines the entry of a patient into </w:t>
      </w:r>
      <w:r w:rsidR="00551E63">
        <w:rPr>
          <w:rStyle w:val="Fett"/>
          <w:b w:val="0"/>
          <w:sz w:val="18"/>
          <w:szCs w:val="18"/>
          <w:lang w:val="en-GB"/>
        </w:rPr>
        <w:t>a</w:t>
      </w:r>
      <w:r w:rsidR="00551E63" w:rsidRPr="0029175B">
        <w:rPr>
          <w:rStyle w:val="Fett"/>
          <w:b w:val="0"/>
          <w:sz w:val="18"/>
          <w:szCs w:val="18"/>
          <w:lang w:val="en-GB"/>
        </w:rPr>
        <w:t xml:space="preserve"> </w:t>
      </w:r>
      <w:r w:rsidR="00950368" w:rsidRPr="0029175B">
        <w:rPr>
          <w:rStyle w:val="Fett"/>
          <w:b w:val="0"/>
          <w:sz w:val="18"/>
          <w:szCs w:val="18"/>
          <w:lang w:val="en-GB"/>
        </w:rPr>
        <w:t xml:space="preserve">registry. This event may be the diagnosis of a particular disease, the start of a treatment with a particular drug or any other defining condition, for example the </w:t>
      </w:r>
      <w:r w:rsidR="00130012" w:rsidRPr="0029175B">
        <w:rPr>
          <w:rStyle w:val="Fett"/>
          <w:b w:val="0"/>
          <w:sz w:val="18"/>
          <w:szCs w:val="18"/>
          <w:lang w:val="en-GB"/>
        </w:rPr>
        <w:t>beginning</w:t>
      </w:r>
      <w:r w:rsidR="00950368" w:rsidRPr="0029175B">
        <w:rPr>
          <w:rStyle w:val="Fett"/>
          <w:b w:val="0"/>
          <w:sz w:val="18"/>
          <w:szCs w:val="18"/>
          <w:lang w:val="en-GB"/>
        </w:rPr>
        <w:t xml:space="preserve"> of a pregnancy. </w:t>
      </w:r>
      <w:r w:rsidR="00121F75">
        <w:rPr>
          <w:rStyle w:val="Fett"/>
          <w:b w:val="0"/>
          <w:sz w:val="18"/>
          <w:szCs w:val="18"/>
          <w:lang w:val="en-GB"/>
        </w:rPr>
        <w:t xml:space="preserve">Some registries also include </w:t>
      </w:r>
      <w:r w:rsidR="00121F75" w:rsidRPr="001F6751">
        <w:rPr>
          <w:sz w:val="18"/>
          <w:szCs w:val="18"/>
        </w:rPr>
        <w:t xml:space="preserve">family members with </w:t>
      </w:r>
      <w:r w:rsidR="009000DE">
        <w:rPr>
          <w:sz w:val="18"/>
          <w:szCs w:val="18"/>
        </w:rPr>
        <w:t>the disease or</w:t>
      </w:r>
      <w:r w:rsidR="00121F75" w:rsidRPr="001F6751">
        <w:rPr>
          <w:sz w:val="18"/>
          <w:szCs w:val="18"/>
        </w:rPr>
        <w:t xml:space="preserve"> who may have an elevated genetic risk of developing the disease</w:t>
      </w:r>
      <w:r w:rsidR="00121F75">
        <w:rPr>
          <w:sz w:val="18"/>
          <w:szCs w:val="18"/>
        </w:rPr>
        <w:t>.</w:t>
      </w:r>
    </w:p>
    <w:p w:rsidR="00D66E0C" w:rsidRPr="0029175B" w:rsidRDefault="00D64049" w:rsidP="003112DE">
      <w:pPr>
        <w:pStyle w:val="Default"/>
        <w:spacing w:after="140" w:line="280" w:lineRule="exact"/>
        <w:ind w:left="360"/>
        <w:rPr>
          <w:rStyle w:val="Fett"/>
          <w:b w:val="0"/>
          <w:sz w:val="18"/>
          <w:szCs w:val="18"/>
          <w:lang w:val="en-GB"/>
        </w:rPr>
      </w:pPr>
      <w:r w:rsidRPr="0029175B">
        <w:rPr>
          <w:rStyle w:val="Fett"/>
          <w:b w:val="0"/>
          <w:sz w:val="18"/>
          <w:szCs w:val="18"/>
          <w:lang w:val="en-GB"/>
        </w:rPr>
        <w:t xml:space="preserve">The term </w:t>
      </w:r>
      <w:r w:rsidR="00756689" w:rsidRPr="0029175B">
        <w:rPr>
          <w:rStyle w:val="Fett"/>
          <w:b w:val="0"/>
          <w:i/>
          <w:sz w:val="18"/>
          <w:szCs w:val="18"/>
          <w:lang w:val="en-GB"/>
        </w:rPr>
        <w:t>r</w:t>
      </w:r>
      <w:r w:rsidRPr="0029175B">
        <w:rPr>
          <w:rStyle w:val="Fett"/>
          <w:b w:val="0"/>
          <w:i/>
          <w:sz w:val="18"/>
          <w:szCs w:val="18"/>
          <w:lang w:val="en-GB"/>
        </w:rPr>
        <w:t>egister</w:t>
      </w:r>
      <w:r w:rsidRPr="0029175B">
        <w:rPr>
          <w:rStyle w:val="Fett"/>
          <w:b w:val="0"/>
          <w:sz w:val="18"/>
          <w:szCs w:val="18"/>
          <w:lang w:val="en-GB"/>
        </w:rPr>
        <w:t xml:space="preserve"> generally designates the database derived from</w:t>
      </w:r>
      <w:r w:rsidR="00756689" w:rsidRPr="0029175B">
        <w:rPr>
          <w:rStyle w:val="Fett"/>
          <w:b w:val="0"/>
          <w:sz w:val="18"/>
          <w:szCs w:val="18"/>
          <w:lang w:val="en-GB"/>
        </w:rPr>
        <w:t xml:space="preserve"> the data collection system (i.e. the</w:t>
      </w:r>
      <w:r w:rsidRPr="0029175B">
        <w:rPr>
          <w:rStyle w:val="Fett"/>
          <w:b w:val="0"/>
          <w:sz w:val="18"/>
          <w:szCs w:val="18"/>
          <w:lang w:val="en-GB"/>
        </w:rPr>
        <w:t xml:space="preserve"> registry</w:t>
      </w:r>
      <w:r w:rsidR="00756689" w:rsidRPr="0029175B">
        <w:rPr>
          <w:rStyle w:val="Fett"/>
          <w:b w:val="0"/>
          <w:sz w:val="18"/>
          <w:szCs w:val="18"/>
          <w:lang w:val="en-GB"/>
        </w:rPr>
        <w:t>)</w:t>
      </w:r>
      <w:r w:rsidRPr="0029175B">
        <w:rPr>
          <w:rStyle w:val="Fett"/>
          <w:b w:val="0"/>
          <w:sz w:val="18"/>
          <w:szCs w:val="18"/>
          <w:lang w:val="en-GB"/>
        </w:rPr>
        <w:t>. As the terms registry and register are often used interchangeably, the term registry is used throughout this text.</w:t>
      </w:r>
    </w:p>
    <w:p w:rsidR="00D66E0C" w:rsidRPr="0029175B" w:rsidRDefault="00D64049" w:rsidP="00D66E0C">
      <w:pPr>
        <w:pStyle w:val="Default"/>
        <w:numPr>
          <w:ilvl w:val="0"/>
          <w:numId w:val="30"/>
        </w:numPr>
        <w:spacing w:after="140" w:line="280" w:lineRule="exact"/>
        <w:rPr>
          <w:rStyle w:val="Fett"/>
          <w:b w:val="0"/>
          <w:sz w:val="18"/>
          <w:szCs w:val="18"/>
          <w:lang w:val="en-GB"/>
        </w:rPr>
      </w:pPr>
      <w:r w:rsidRPr="0029175B">
        <w:rPr>
          <w:rStyle w:val="Fett"/>
          <w:b w:val="0"/>
          <w:i/>
          <w:sz w:val="18"/>
          <w:szCs w:val="18"/>
          <w:lang w:val="en-GB"/>
        </w:rPr>
        <w:t>Incident patients:</w:t>
      </w:r>
      <w:r w:rsidRPr="0029175B">
        <w:rPr>
          <w:rStyle w:val="Fett"/>
          <w:b w:val="0"/>
          <w:sz w:val="18"/>
          <w:szCs w:val="18"/>
          <w:lang w:val="en-GB"/>
        </w:rPr>
        <w:t xml:space="preserve"> patients whose entry in the registry is determined by </w:t>
      </w:r>
      <w:r w:rsidR="008C37EF" w:rsidRPr="0029175B">
        <w:rPr>
          <w:rStyle w:val="Fett"/>
          <w:b w:val="0"/>
          <w:sz w:val="18"/>
          <w:szCs w:val="18"/>
          <w:lang w:val="en-GB"/>
        </w:rPr>
        <w:t xml:space="preserve">the </w:t>
      </w:r>
      <w:r w:rsidRPr="0029175B">
        <w:rPr>
          <w:rStyle w:val="Fett"/>
          <w:b w:val="0"/>
          <w:sz w:val="18"/>
          <w:szCs w:val="18"/>
          <w:lang w:val="en-GB"/>
        </w:rPr>
        <w:t xml:space="preserve">occurrence of a new event (a new diagnosis, a new </w:t>
      </w:r>
      <w:r w:rsidR="009000DE">
        <w:rPr>
          <w:rStyle w:val="Fett"/>
          <w:b w:val="0"/>
          <w:sz w:val="18"/>
          <w:szCs w:val="18"/>
          <w:lang w:val="en-GB"/>
        </w:rPr>
        <w:t xml:space="preserve">initiation of </w:t>
      </w:r>
      <w:r w:rsidR="00674E02">
        <w:rPr>
          <w:rStyle w:val="Fett"/>
          <w:b w:val="0"/>
          <w:sz w:val="18"/>
          <w:szCs w:val="18"/>
          <w:lang w:val="en-GB"/>
        </w:rPr>
        <w:t xml:space="preserve">a </w:t>
      </w:r>
      <w:r w:rsidR="009000DE">
        <w:rPr>
          <w:rStyle w:val="Fett"/>
          <w:b w:val="0"/>
          <w:sz w:val="18"/>
          <w:szCs w:val="18"/>
          <w:lang w:val="en-GB"/>
        </w:rPr>
        <w:t xml:space="preserve">medication </w:t>
      </w:r>
      <w:r w:rsidRPr="0029175B">
        <w:rPr>
          <w:rStyle w:val="Fett"/>
          <w:b w:val="0"/>
          <w:sz w:val="18"/>
          <w:szCs w:val="18"/>
          <w:lang w:val="en-GB"/>
        </w:rPr>
        <w:t xml:space="preserve">or a new condition). </w:t>
      </w:r>
    </w:p>
    <w:p w:rsidR="00D66E0C" w:rsidRPr="0029175B" w:rsidRDefault="00D64049" w:rsidP="00D66E0C">
      <w:pPr>
        <w:pStyle w:val="Default"/>
        <w:numPr>
          <w:ilvl w:val="0"/>
          <w:numId w:val="30"/>
        </w:numPr>
        <w:spacing w:after="140" w:line="280" w:lineRule="exact"/>
        <w:rPr>
          <w:rStyle w:val="Fett"/>
          <w:b w:val="0"/>
          <w:sz w:val="18"/>
          <w:szCs w:val="18"/>
          <w:lang w:val="en-GB"/>
        </w:rPr>
      </w:pPr>
      <w:r w:rsidRPr="0029175B">
        <w:rPr>
          <w:rStyle w:val="Fett"/>
          <w:b w:val="0"/>
          <w:i/>
          <w:sz w:val="18"/>
          <w:szCs w:val="18"/>
          <w:lang w:val="en-GB"/>
        </w:rPr>
        <w:t>Prevalent patients</w:t>
      </w:r>
      <w:r w:rsidRPr="0029175B">
        <w:rPr>
          <w:rStyle w:val="Fett"/>
          <w:b w:val="0"/>
          <w:sz w:val="18"/>
          <w:szCs w:val="18"/>
          <w:lang w:val="en-GB"/>
        </w:rPr>
        <w:t xml:space="preserve">: patients who have already experienced </w:t>
      </w:r>
      <w:r w:rsidR="008C37EF" w:rsidRPr="0029175B">
        <w:rPr>
          <w:rStyle w:val="Fett"/>
          <w:b w:val="0"/>
          <w:sz w:val="18"/>
          <w:szCs w:val="18"/>
          <w:lang w:val="en-GB"/>
        </w:rPr>
        <w:t>the event in the past and who enter the registry based on their first visit to a clinician</w:t>
      </w:r>
      <w:r w:rsidR="001B2757" w:rsidRPr="0029175B">
        <w:rPr>
          <w:rStyle w:val="Fett"/>
          <w:b w:val="0"/>
          <w:sz w:val="18"/>
          <w:szCs w:val="18"/>
          <w:lang w:val="en-GB"/>
        </w:rPr>
        <w:t xml:space="preserve"> participating in the registry or fulfilling any other condition for eligibility</w:t>
      </w:r>
      <w:r w:rsidRPr="0029175B">
        <w:rPr>
          <w:rStyle w:val="Fett"/>
          <w:b w:val="0"/>
          <w:sz w:val="18"/>
          <w:szCs w:val="18"/>
          <w:lang w:val="en-GB"/>
        </w:rPr>
        <w:t xml:space="preserve">. </w:t>
      </w:r>
    </w:p>
    <w:p w:rsidR="00D66E0C" w:rsidRPr="0029175B" w:rsidRDefault="00D64049" w:rsidP="00D66E0C">
      <w:pPr>
        <w:pStyle w:val="Default"/>
        <w:spacing w:after="140" w:line="280" w:lineRule="exact"/>
        <w:ind w:left="360"/>
        <w:rPr>
          <w:rStyle w:val="Fett"/>
          <w:b w:val="0"/>
          <w:sz w:val="18"/>
          <w:szCs w:val="18"/>
          <w:lang w:val="en-GB"/>
        </w:rPr>
      </w:pPr>
      <w:r w:rsidRPr="0029175B">
        <w:rPr>
          <w:rStyle w:val="Fett"/>
          <w:b w:val="0"/>
          <w:sz w:val="18"/>
          <w:szCs w:val="18"/>
          <w:lang w:val="en-GB"/>
        </w:rPr>
        <w:t>For prevalent patients</w:t>
      </w:r>
      <w:r w:rsidR="00950368" w:rsidRPr="0029175B">
        <w:rPr>
          <w:rStyle w:val="Fett"/>
          <w:b w:val="0"/>
          <w:sz w:val="18"/>
          <w:szCs w:val="18"/>
          <w:lang w:val="en-GB"/>
        </w:rPr>
        <w:t xml:space="preserve">, it is important to ensure that the date of </w:t>
      </w:r>
      <w:r w:rsidR="001B2757" w:rsidRPr="0029175B">
        <w:rPr>
          <w:rStyle w:val="Fett"/>
          <w:b w:val="0"/>
          <w:sz w:val="18"/>
          <w:szCs w:val="18"/>
          <w:lang w:val="en-GB"/>
        </w:rPr>
        <w:t>entry in the registry is</w:t>
      </w:r>
      <w:r w:rsidR="00950368" w:rsidRPr="0029175B">
        <w:rPr>
          <w:rStyle w:val="Fett"/>
          <w:b w:val="0"/>
          <w:sz w:val="18"/>
          <w:szCs w:val="18"/>
          <w:lang w:val="en-GB"/>
        </w:rPr>
        <w:t xml:space="preserve"> properly recorded</w:t>
      </w:r>
      <w:r w:rsidR="008F7BC8">
        <w:rPr>
          <w:rStyle w:val="Fett"/>
          <w:b w:val="0"/>
          <w:sz w:val="18"/>
          <w:szCs w:val="18"/>
          <w:lang w:val="en-GB"/>
        </w:rPr>
        <w:t>; the data of entry should be clearly distinguished from other relevant dates</w:t>
      </w:r>
      <w:r w:rsidR="009000DE">
        <w:rPr>
          <w:rStyle w:val="Fett"/>
          <w:b w:val="0"/>
          <w:sz w:val="18"/>
          <w:szCs w:val="18"/>
          <w:lang w:val="en-GB"/>
        </w:rPr>
        <w:t xml:space="preserve"> e.g. </w:t>
      </w:r>
      <w:r w:rsidR="00950368" w:rsidRPr="0029175B">
        <w:rPr>
          <w:rStyle w:val="Fett"/>
          <w:b w:val="0"/>
          <w:sz w:val="18"/>
          <w:szCs w:val="18"/>
          <w:lang w:val="en-GB"/>
        </w:rPr>
        <w:t xml:space="preserve">the date of the diagnosis of </w:t>
      </w:r>
      <w:r w:rsidR="001B2757" w:rsidRPr="0029175B">
        <w:rPr>
          <w:rStyle w:val="Fett"/>
          <w:b w:val="0"/>
          <w:sz w:val="18"/>
          <w:szCs w:val="18"/>
          <w:lang w:val="en-GB"/>
        </w:rPr>
        <w:t>a disease</w:t>
      </w:r>
      <w:r w:rsidR="003F3939">
        <w:rPr>
          <w:rStyle w:val="Fett"/>
          <w:b w:val="0"/>
          <w:sz w:val="18"/>
          <w:szCs w:val="18"/>
          <w:lang w:val="en-GB"/>
        </w:rPr>
        <w:t xml:space="preserve"> or</w:t>
      </w:r>
      <w:r w:rsidR="009000DE">
        <w:rPr>
          <w:rStyle w:val="Fett"/>
          <w:b w:val="0"/>
          <w:sz w:val="18"/>
          <w:szCs w:val="18"/>
          <w:lang w:val="en-GB"/>
        </w:rPr>
        <w:t xml:space="preserve"> </w:t>
      </w:r>
      <w:r w:rsidR="008F7BC8">
        <w:rPr>
          <w:rStyle w:val="Fett"/>
          <w:b w:val="0"/>
          <w:sz w:val="18"/>
          <w:szCs w:val="18"/>
          <w:lang w:val="en-GB"/>
        </w:rPr>
        <w:t xml:space="preserve">of </w:t>
      </w:r>
      <w:r w:rsidR="001B2757" w:rsidRPr="0029175B">
        <w:rPr>
          <w:rStyle w:val="Fett"/>
          <w:b w:val="0"/>
          <w:sz w:val="18"/>
          <w:szCs w:val="18"/>
          <w:lang w:val="en-GB"/>
        </w:rPr>
        <w:t>a</w:t>
      </w:r>
      <w:r w:rsidR="00950368" w:rsidRPr="0029175B">
        <w:rPr>
          <w:rStyle w:val="Fett"/>
          <w:b w:val="0"/>
          <w:sz w:val="18"/>
          <w:szCs w:val="18"/>
          <w:lang w:val="en-GB"/>
        </w:rPr>
        <w:t xml:space="preserve"> first prescription. </w:t>
      </w:r>
    </w:p>
    <w:p w:rsidR="00D66E0C" w:rsidRPr="0029175B" w:rsidRDefault="00D64049" w:rsidP="00AD4CBC">
      <w:pPr>
        <w:pStyle w:val="Default"/>
        <w:numPr>
          <w:ilvl w:val="0"/>
          <w:numId w:val="30"/>
        </w:numPr>
        <w:spacing w:after="140" w:line="280" w:lineRule="exact"/>
        <w:rPr>
          <w:rStyle w:val="Fett"/>
          <w:b w:val="0"/>
          <w:sz w:val="18"/>
          <w:szCs w:val="18"/>
          <w:lang w:val="en-GB"/>
        </w:rPr>
      </w:pPr>
      <w:r w:rsidRPr="0029175B">
        <w:rPr>
          <w:rStyle w:val="Fett"/>
          <w:b w:val="0"/>
          <w:i/>
          <w:sz w:val="18"/>
          <w:szCs w:val="18"/>
          <w:lang w:val="en-GB"/>
        </w:rPr>
        <w:t>R</w:t>
      </w:r>
      <w:r w:rsidR="00950368" w:rsidRPr="0029175B">
        <w:rPr>
          <w:rStyle w:val="Fett"/>
          <w:b w:val="0"/>
          <w:i/>
          <w:sz w:val="18"/>
          <w:szCs w:val="18"/>
          <w:lang w:val="en-GB"/>
        </w:rPr>
        <w:t>egistry participant</w:t>
      </w:r>
      <w:r w:rsidRPr="0029175B">
        <w:rPr>
          <w:rStyle w:val="Fett"/>
          <w:b w:val="0"/>
          <w:sz w:val="18"/>
          <w:szCs w:val="18"/>
          <w:lang w:val="en-GB"/>
        </w:rPr>
        <w:t>:</w:t>
      </w:r>
      <w:r w:rsidR="00950368" w:rsidRPr="0029175B">
        <w:rPr>
          <w:rStyle w:val="Fett"/>
          <w:b w:val="0"/>
          <w:sz w:val="18"/>
          <w:szCs w:val="18"/>
          <w:lang w:val="en-GB"/>
        </w:rPr>
        <w:t xml:space="preserve"> health care professional or other person </w:t>
      </w:r>
      <w:r w:rsidR="001B2757" w:rsidRPr="0029175B">
        <w:rPr>
          <w:rStyle w:val="Fett"/>
          <w:b w:val="0"/>
          <w:sz w:val="18"/>
          <w:szCs w:val="18"/>
          <w:lang w:val="en-GB"/>
        </w:rPr>
        <w:t>recruiting</w:t>
      </w:r>
      <w:r w:rsidR="00950368" w:rsidRPr="0029175B">
        <w:rPr>
          <w:rStyle w:val="Fett"/>
          <w:b w:val="0"/>
          <w:sz w:val="18"/>
          <w:szCs w:val="18"/>
          <w:lang w:val="en-GB"/>
        </w:rPr>
        <w:t xml:space="preserve"> patients, updating medical records, ensuring data entry, managing the data or performing other tasks at the local level. </w:t>
      </w:r>
    </w:p>
    <w:p w:rsidR="00AD4CBC" w:rsidRPr="0029175B" w:rsidRDefault="00D64049" w:rsidP="00AD4CBC">
      <w:pPr>
        <w:pStyle w:val="Default"/>
        <w:numPr>
          <w:ilvl w:val="0"/>
          <w:numId w:val="30"/>
        </w:numPr>
        <w:spacing w:after="140" w:line="280" w:lineRule="exact"/>
        <w:rPr>
          <w:rStyle w:val="Fett"/>
          <w:b w:val="0"/>
          <w:sz w:val="18"/>
          <w:szCs w:val="18"/>
          <w:lang w:val="en-GB"/>
        </w:rPr>
      </w:pPr>
      <w:r w:rsidRPr="0029175B">
        <w:rPr>
          <w:rStyle w:val="Fett"/>
          <w:b w:val="0"/>
          <w:i/>
          <w:sz w:val="18"/>
          <w:szCs w:val="18"/>
          <w:lang w:val="en-GB"/>
        </w:rPr>
        <w:t>R</w:t>
      </w:r>
      <w:r w:rsidR="00950368" w:rsidRPr="0029175B">
        <w:rPr>
          <w:rStyle w:val="Fett"/>
          <w:b w:val="0"/>
          <w:i/>
          <w:sz w:val="18"/>
          <w:szCs w:val="18"/>
          <w:lang w:val="en-GB"/>
        </w:rPr>
        <w:t xml:space="preserve">egistry </w:t>
      </w:r>
      <w:r w:rsidR="00130012" w:rsidRPr="0029175B">
        <w:rPr>
          <w:rStyle w:val="Fett"/>
          <w:b w:val="0"/>
          <w:i/>
          <w:sz w:val="18"/>
          <w:szCs w:val="18"/>
          <w:lang w:val="en-GB"/>
        </w:rPr>
        <w:t>coordinator</w:t>
      </w:r>
      <w:r w:rsidRPr="0029175B">
        <w:rPr>
          <w:rStyle w:val="Fett"/>
          <w:b w:val="0"/>
          <w:sz w:val="18"/>
          <w:szCs w:val="18"/>
          <w:lang w:val="en-GB"/>
        </w:rPr>
        <w:t xml:space="preserve">: </w:t>
      </w:r>
      <w:r w:rsidR="00950368" w:rsidRPr="0029175B">
        <w:rPr>
          <w:rStyle w:val="Fett"/>
          <w:b w:val="0"/>
          <w:sz w:val="18"/>
          <w:szCs w:val="18"/>
          <w:lang w:val="en-GB"/>
        </w:rPr>
        <w:t xml:space="preserve">person or </w:t>
      </w:r>
      <w:r w:rsidR="00D133B5" w:rsidRPr="0029175B">
        <w:rPr>
          <w:rStyle w:val="Fett"/>
          <w:b w:val="0"/>
          <w:sz w:val="18"/>
          <w:szCs w:val="18"/>
          <w:lang w:val="en-GB"/>
        </w:rPr>
        <w:t>entity</w:t>
      </w:r>
      <w:r w:rsidR="00950368" w:rsidRPr="0029175B">
        <w:rPr>
          <w:rStyle w:val="Fett"/>
          <w:b w:val="0"/>
          <w:sz w:val="18"/>
          <w:szCs w:val="18"/>
          <w:lang w:val="en-GB"/>
        </w:rPr>
        <w:t xml:space="preserve"> having a role in the overall coordination of a registry</w:t>
      </w:r>
      <w:r w:rsidR="00130012" w:rsidRPr="0029175B">
        <w:rPr>
          <w:rStyle w:val="Fett"/>
          <w:b w:val="0"/>
          <w:sz w:val="18"/>
          <w:szCs w:val="18"/>
          <w:lang w:val="en-GB"/>
        </w:rPr>
        <w:t xml:space="preserve"> or of a platform of several registries</w:t>
      </w:r>
      <w:r w:rsidR="00950368" w:rsidRPr="0029175B">
        <w:rPr>
          <w:rStyle w:val="Fett"/>
          <w:b w:val="0"/>
          <w:sz w:val="18"/>
          <w:szCs w:val="18"/>
          <w:lang w:val="en-GB"/>
        </w:rPr>
        <w:t xml:space="preserve">. </w:t>
      </w:r>
    </w:p>
    <w:p w:rsidR="00AD4CBC" w:rsidRPr="0029175B" w:rsidRDefault="00D64049" w:rsidP="00EB7533">
      <w:pPr>
        <w:pStyle w:val="Default"/>
        <w:numPr>
          <w:ilvl w:val="0"/>
          <w:numId w:val="30"/>
        </w:numPr>
        <w:spacing w:after="140" w:line="280" w:lineRule="exact"/>
        <w:rPr>
          <w:rStyle w:val="Fett"/>
          <w:b w:val="0"/>
          <w:sz w:val="18"/>
          <w:szCs w:val="18"/>
          <w:lang w:val="en-GB"/>
        </w:rPr>
      </w:pPr>
      <w:r w:rsidRPr="0029175B">
        <w:rPr>
          <w:rStyle w:val="Fett"/>
          <w:b w:val="0"/>
          <w:i/>
          <w:sz w:val="18"/>
          <w:szCs w:val="18"/>
          <w:lang w:val="en-GB"/>
        </w:rPr>
        <w:t>P</w:t>
      </w:r>
      <w:r w:rsidR="00950368" w:rsidRPr="0029175B">
        <w:rPr>
          <w:rStyle w:val="Fett"/>
          <w:b w:val="0"/>
          <w:i/>
          <w:sz w:val="18"/>
          <w:szCs w:val="18"/>
          <w:lang w:val="en-GB"/>
        </w:rPr>
        <w:t>opulation registry</w:t>
      </w:r>
      <w:r w:rsidRPr="0029175B">
        <w:rPr>
          <w:rStyle w:val="Fett"/>
          <w:b w:val="0"/>
          <w:i/>
          <w:sz w:val="18"/>
          <w:szCs w:val="18"/>
          <w:lang w:val="en-GB"/>
        </w:rPr>
        <w:t>:</w:t>
      </w:r>
      <w:r w:rsidR="00950368" w:rsidRPr="0029175B">
        <w:rPr>
          <w:rStyle w:val="Fett"/>
          <w:b w:val="0"/>
          <w:i/>
          <w:sz w:val="18"/>
          <w:szCs w:val="18"/>
          <w:lang w:val="en-GB"/>
        </w:rPr>
        <w:t xml:space="preserve"> </w:t>
      </w:r>
      <w:r w:rsidR="00950368" w:rsidRPr="0029175B">
        <w:rPr>
          <w:sz w:val="18"/>
          <w:szCs w:val="18"/>
          <w:lang w:val="en-GB"/>
        </w:rPr>
        <w:t>comprehensive registration of population data at the regional or national level based on a unique identifier</w:t>
      </w:r>
      <w:r w:rsidRPr="0029175B">
        <w:rPr>
          <w:sz w:val="18"/>
          <w:szCs w:val="18"/>
          <w:lang w:val="en-GB"/>
        </w:rPr>
        <w:t xml:space="preserve"> </w:t>
      </w:r>
      <w:r w:rsidR="0058265A">
        <w:rPr>
          <w:sz w:val="18"/>
          <w:szCs w:val="18"/>
          <w:lang w:val="en-GB"/>
        </w:rPr>
        <w:t xml:space="preserve">allowing linkage between datasets, </w:t>
      </w:r>
      <w:r w:rsidR="00950368" w:rsidRPr="0029175B">
        <w:rPr>
          <w:sz w:val="18"/>
          <w:szCs w:val="18"/>
          <w:lang w:val="en-GB"/>
        </w:rPr>
        <w:t xml:space="preserve">and which is called </w:t>
      </w:r>
      <w:r w:rsidR="00950368" w:rsidRPr="0029175B">
        <w:rPr>
          <w:i/>
          <w:sz w:val="18"/>
          <w:szCs w:val="18"/>
          <w:lang w:val="en-GB"/>
        </w:rPr>
        <w:t>registry</w:t>
      </w:r>
      <w:r w:rsidR="00950368" w:rsidRPr="0029175B">
        <w:rPr>
          <w:sz w:val="18"/>
          <w:szCs w:val="18"/>
          <w:lang w:val="en-GB"/>
        </w:rPr>
        <w:t xml:space="preserve"> in European Nordic countries, such as the Norwegian Patient Registry</w:t>
      </w:r>
      <w:r w:rsidR="005D2A6F" w:rsidRPr="00CE3951">
        <w:rPr>
          <w:sz w:val="18"/>
          <w:szCs w:val="18"/>
          <w:lang w:val="en-GB"/>
        </w:rPr>
        <w:t xml:space="preserve"> </w:t>
      </w:r>
      <w:r w:rsidR="005D2A6F" w:rsidRPr="006E7959">
        <w:rPr>
          <w:sz w:val="18"/>
          <w:szCs w:val="18"/>
          <w:lang w:val="en-GB"/>
        </w:rPr>
        <w:fldChar w:fldCharType="begin"/>
      </w:r>
      <w:r w:rsidR="005E2E45">
        <w:rPr>
          <w:sz w:val="18"/>
          <w:szCs w:val="18"/>
          <w:lang w:val="en-GB"/>
        </w:rPr>
        <w:instrText xml:space="preserve"> ADDIN ZOTERO_ITEM CSL_CITATION {"citationID":"a26bn331m0v","properties":{"formattedCitation":"(16)","plainCitation":"(16)"},"citationItems":[{"id":2245,"uris":["http://zotero.org/users/local/tAKp4fcl/items/ZVY8QZ89"],"uri":["http://zotero.org/users/local/tAKp4fcl/items/ZVY8QZ89"],"itemData":{"id":2245,"type":"webpage","title":"Norwegian Patient Registry","URL":"https://helsedirektoratet.no/english/norwegian-patient-registry"}}],"schema":"https://github.com/citation-style-language/schema/raw/master/csl-citation.json"} </w:instrText>
      </w:r>
      <w:r w:rsidR="005D2A6F" w:rsidRPr="006E7959">
        <w:rPr>
          <w:sz w:val="18"/>
          <w:szCs w:val="18"/>
          <w:lang w:val="en-GB"/>
        </w:rPr>
        <w:fldChar w:fldCharType="separate"/>
      </w:r>
      <w:r w:rsidR="005E2E45" w:rsidRPr="005E2E45">
        <w:rPr>
          <w:sz w:val="18"/>
        </w:rPr>
        <w:t>(16)</w:t>
      </w:r>
      <w:r w:rsidR="005D2A6F" w:rsidRPr="006E7959">
        <w:rPr>
          <w:sz w:val="18"/>
          <w:szCs w:val="18"/>
          <w:lang w:val="en-GB"/>
        </w:rPr>
        <w:fldChar w:fldCharType="end"/>
      </w:r>
      <w:r w:rsidR="00950368" w:rsidRPr="0029175B">
        <w:rPr>
          <w:sz w:val="18"/>
          <w:szCs w:val="18"/>
          <w:lang w:val="en-GB"/>
        </w:rPr>
        <w:t xml:space="preserve">, the Danish National Patient Registry </w:t>
      </w:r>
      <w:r w:rsidR="005D2A6F" w:rsidRPr="00CE3951">
        <w:rPr>
          <w:sz w:val="18"/>
          <w:szCs w:val="18"/>
          <w:lang w:val="en-GB"/>
        </w:rPr>
        <w:t xml:space="preserve"> </w:t>
      </w:r>
      <w:r w:rsidR="005D2A6F" w:rsidRPr="006E7959">
        <w:rPr>
          <w:sz w:val="18"/>
          <w:szCs w:val="18"/>
          <w:lang w:val="en-GB"/>
        </w:rPr>
        <w:fldChar w:fldCharType="begin"/>
      </w:r>
      <w:r w:rsidR="005E2E45">
        <w:rPr>
          <w:sz w:val="18"/>
          <w:szCs w:val="18"/>
          <w:lang w:val="en-GB"/>
        </w:rPr>
        <w:instrText xml:space="preserve"> ADDIN ZOTERO_ITEM CSL_CITATION {"citationID":"aait2qpmr4","properties":{"formattedCitation":"(17)","plainCitation":"(17)"},"citationItems":[{"id":2247,"uris":["http://zotero.org/users/local/tAKp4fcl/items/AEZNG95R"],"uri":["http://zotero.org/users/local/tAKp4fcl/items/AEZNG95R"],"itemData":{"id":2247,"type":"article-journal","title":"The Danish National Patient Registry: a review of content, data quality, and research potential","container-title":"Clinical Epidemiology","page":"449-490","volume":"7","source":"PubMed","abstract":"BACKGROUND: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exists.\nOBJECTIVES: To review the content, data quality, and research potential of the DNPR.\nMETHODS: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population.\nCONCLUSION: The DNPR is a valuable tool for epidemiological research. However, both its strengths and limitations must be considered when interpreting research results, and continuous validation of its clinical data is essential.","DOI":"10.2147/CLEP.S91125","ISSN":"1179-1349","note":"PMID: 26604824\nPMCID: PMC4655913","shortTitle":"The Danish National Patient Registry","journalAbbreviation":"Clin Epidemiol","language":"eng","author":[{"family":"Schmidt","given":"Morten"},{"family":"Schmidt","given":"Sigrun Alba Johannesdottir"},{"family":"Sandegaard","given":"Jakob Lynge"},{"family":"Ehrenstein","given":"Vera"},{"family":"Pedersen","given":"Lars"},{"family":"Sørensen","given":"Henrik Toft"}],"issued":{"date-parts":[["2015"]]}}}],"schema":"https://github.com/citation-style-language/schema/raw/master/csl-citation.json"} </w:instrText>
      </w:r>
      <w:r w:rsidR="005D2A6F" w:rsidRPr="006E7959">
        <w:rPr>
          <w:sz w:val="18"/>
          <w:szCs w:val="18"/>
          <w:lang w:val="en-GB"/>
        </w:rPr>
        <w:fldChar w:fldCharType="separate"/>
      </w:r>
      <w:r w:rsidR="005E2E45" w:rsidRPr="005E2E45">
        <w:rPr>
          <w:sz w:val="18"/>
        </w:rPr>
        <w:t>(17)</w:t>
      </w:r>
      <w:r w:rsidR="005D2A6F" w:rsidRPr="006E7959">
        <w:rPr>
          <w:sz w:val="18"/>
          <w:szCs w:val="18"/>
          <w:lang w:val="en-GB"/>
        </w:rPr>
        <w:fldChar w:fldCharType="end"/>
      </w:r>
      <w:r w:rsidR="005D2A6F" w:rsidRPr="0029175B">
        <w:rPr>
          <w:sz w:val="18"/>
          <w:szCs w:val="18"/>
          <w:lang w:val="en-GB"/>
        </w:rPr>
        <w:t xml:space="preserve"> </w:t>
      </w:r>
      <w:r w:rsidR="00950368" w:rsidRPr="0029175B">
        <w:rPr>
          <w:sz w:val="18"/>
          <w:szCs w:val="18"/>
          <w:lang w:val="en-GB"/>
        </w:rPr>
        <w:t>or the Swedish National Patient Register</w:t>
      </w:r>
      <w:r w:rsidR="000A118D" w:rsidRPr="0029175B">
        <w:rPr>
          <w:rStyle w:val="Hyperlink"/>
          <w:sz w:val="18"/>
          <w:szCs w:val="18"/>
          <w:u w:val="none"/>
          <w:lang w:val="en-GB"/>
        </w:rPr>
        <w:t xml:space="preserve"> </w:t>
      </w:r>
      <w:r w:rsidR="000A118D" w:rsidRPr="006E7959">
        <w:rPr>
          <w:rStyle w:val="Hyperlink"/>
          <w:sz w:val="18"/>
          <w:szCs w:val="18"/>
          <w:lang w:val="en-GB"/>
        </w:rPr>
        <w:fldChar w:fldCharType="begin"/>
      </w:r>
      <w:r w:rsidR="005E2E45">
        <w:rPr>
          <w:rStyle w:val="Hyperlink"/>
          <w:sz w:val="18"/>
          <w:szCs w:val="18"/>
          <w:lang w:val="en-GB"/>
        </w:rPr>
        <w:instrText xml:space="preserve"> ADDIN ZOTERO_ITEM CSL_CITATION {"citationID":"ahgct3199k","properties":{"formattedCitation":"(18)","plainCitation":"(18)"},"citationItems":[{"id":2246,"uris":["http://zotero.org/users/local/tAKp4fcl/items/KVUXZ67I"],"uri":["http://zotero.org/users/local/tAKp4fcl/items/KVUXZ67I"],"itemData":{"id":2246,"type":"webpage","title":"Swedish National Patient Registry","URL":"http://www.socialstyrelsen.se/register/halsodataregister/patientregistret/inenglish"}}],"schema":"https://github.com/citation-style-language/schema/raw/master/csl-citation.json"} </w:instrText>
      </w:r>
      <w:r w:rsidR="000A118D" w:rsidRPr="006E7959">
        <w:rPr>
          <w:rStyle w:val="Hyperlink"/>
          <w:sz w:val="18"/>
          <w:szCs w:val="18"/>
          <w:lang w:val="en-GB"/>
        </w:rPr>
        <w:fldChar w:fldCharType="separate"/>
      </w:r>
      <w:r w:rsidR="005E2E45" w:rsidRPr="005E2E45">
        <w:rPr>
          <w:sz w:val="18"/>
        </w:rPr>
        <w:t>(18)</w:t>
      </w:r>
      <w:r w:rsidR="000A118D" w:rsidRPr="006E7959">
        <w:rPr>
          <w:rStyle w:val="Hyperlink"/>
          <w:sz w:val="18"/>
          <w:szCs w:val="18"/>
          <w:lang w:val="en-GB"/>
        </w:rPr>
        <w:fldChar w:fldCharType="end"/>
      </w:r>
      <w:r w:rsidR="00950368" w:rsidRPr="0029175B">
        <w:rPr>
          <w:sz w:val="18"/>
          <w:szCs w:val="18"/>
          <w:lang w:val="en-GB"/>
        </w:rPr>
        <w:t>.</w:t>
      </w:r>
      <w:r w:rsidR="00FC5AA5">
        <w:rPr>
          <w:sz w:val="18"/>
          <w:szCs w:val="18"/>
          <w:lang w:val="en-GB"/>
        </w:rPr>
        <w:t xml:space="preserve"> </w:t>
      </w:r>
      <w:r w:rsidR="00FC5AA5">
        <w:rPr>
          <w:sz w:val="18"/>
          <w:szCs w:val="18"/>
        </w:rPr>
        <w:t>P</w:t>
      </w:r>
      <w:r w:rsidR="00FC5AA5" w:rsidRPr="006E7959">
        <w:rPr>
          <w:sz w:val="18"/>
          <w:szCs w:val="18"/>
        </w:rPr>
        <w:t xml:space="preserve">opulation registries are not </w:t>
      </w:r>
      <w:r w:rsidR="00FC5AA5">
        <w:rPr>
          <w:sz w:val="18"/>
          <w:szCs w:val="18"/>
        </w:rPr>
        <w:t>addressed in</w:t>
      </w:r>
      <w:r w:rsidR="00FC5AA5" w:rsidRPr="006E7959">
        <w:rPr>
          <w:sz w:val="18"/>
          <w:szCs w:val="18"/>
        </w:rPr>
        <w:t xml:space="preserve"> this document</w:t>
      </w:r>
      <w:r w:rsidR="00FC5AA5">
        <w:rPr>
          <w:sz w:val="18"/>
          <w:szCs w:val="18"/>
        </w:rPr>
        <w:t>.</w:t>
      </w:r>
    </w:p>
    <w:p w:rsidR="00B30472" w:rsidRPr="008B040E" w:rsidRDefault="00D64049" w:rsidP="008B040E">
      <w:pPr>
        <w:pStyle w:val="Heading2Agency"/>
        <w:rPr>
          <w:rStyle w:val="Fett"/>
          <w:b/>
          <w:bCs/>
        </w:rPr>
      </w:pPr>
      <w:bookmarkStart w:id="77" w:name="_Toc528934922"/>
      <w:r w:rsidRPr="008B040E">
        <w:rPr>
          <w:rStyle w:val="Fett"/>
          <w:b/>
          <w:bCs/>
        </w:rPr>
        <w:t xml:space="preserve">Disease </w:t>
      </w:r>
      <w:r w:rsidR="00613C2B" w:rsidRPr="008B040E">
        <w:rPr>
          <w:rStyle w:val="Fett"/>
          <w:b/>
          <w:bCs/>
        </w:rPr>
        <w:t xml:space="preserve">registries </w:t>
      </w:r>
      <w:r w:rsidRPr="008B040E">
        <w:rPr>
          <w:rStyle w:val="Fett"/>
          <w:b/>
          <w:bCs/>
        </w:rPr>
        <w:t>and product registr</w:t>
      </w:r>
      <w:r w:rsidR="00373FAB" w:rsidRPr="008B040E">
        <w:rPr>
          <w:rStyle w:val="Fett"/>
          <w:b/>
          <w:bCs/>
        </w:rPr>
        <w:t>ies</w:t>
      </w:r>
      <w:bookmarkEnd w:id="77"/>
    </w:p>
    <w:p w:rsidR="00613C2B"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 xml:space="preserve">There </w:t>
      </w:r>
      <w:r w:rsidR="00551E63">
        <w:rPr>
          <w:rStyle w:val="Fett"/>
          <w:b w:val="0"/>
          <w:sz w:val="18"/>
          <w:szCs w:val="18"/>
          <w:lang w:val="en-GB"/>
        </w:rPr>
        <w:t>are</w:t>
      </w:r>
      <w:r w:rsidRPr="0029175B">
        <w:rPr>
          <w:rStyle w:val="Fett"/>
          <w:b w:val="0"/>
          <w:sz w:val="18"/>
          <w:szCs w:val="18"/>
          <w:lang w:val="en-GB"/>
        </w:rPr>
        <w:t xml:space="preserve"> many reasons why collection of patient data is initiated. The utility of patient registries for different stakeholder groups is described in section 3.2 of the report of the </w:t>
      </w:r>
      <w:r w:rsidRPr="0029175B">
        <w:rPr>
          <w:sz w:val="18"/>
          <w:szCs w:val="18"/>
          <w:lang w:val="en-GB"/>
        </w:rPr>
        <w:t>Patient Registries Workshop</w:t>
      </w:r>
      <w:r w:rsidR="000A118D" w:rsidRPr="0029175B">
        <w:rPr>
          <w:sz w:val="18"/>
          <w:szCs w:val="18"/>
          <w:lang w:val="en-GB"/>
        </w:rPr>
        <w:t xml:space="preserve"> </w:t>
      </w:r>
      <w:r w:rsidR="000A118D" w:rsidRPr="0029175B">
        <w:rPr>
          <w:sz w:val="18"/>
          <w:szCs w:val="18"/>
          <w:lang w:val="en-GB"/>
        </w:rPr>
        <w:fldChar w:fldCharType="begin"/>
      </w:r>
      <w:r w:rsidR="000A118D" w:rsidRPr="0029175B">
        <w:rPr>
          <w:sz w:val="18"/>
          <w:szCs w:val="18"/>
          <w:lang w:val="en-GB"/>
        </w:rPr>
        <w:instrText xml:space="preserve"> ADDIN ZOTERO_ITEM CSL_CITATION {"citationID":"atn7jgojcu","properties":{"formattedCitation":"(5)","plainCitation":"(5)"},"citationItems":[{"id":2240,"uris":["http://zotero.org/users/local/tAKp4fcl/items/6R56S7U7"],"uri":["http://zotero.org/users/local/tAKp4fcl/items/6R56S7U7"],"itemData":{"id":2240,"type":"article","title":"Patient Registries Workshop, 28 October 2016 - Observations and recommendations arising from the workshop. EMA/69716/2017","URL":"http://www.ema.europa.eu/docs/en_GB/document_library/Report/2017/02/WC500221618.pdf","author":[{"literal":"European Medicines Agency (EMA)"}],"issued":{"date-parts":[["2017",2,13]]}}}],"schema":"https://github.com/citation-style-language/schema/raw/master/csl-citation.json"} </w:instrText>
      </w:r>
      <w:r w:rsidR="000A118D" w:rsidRPr="0029175B">
        <w:rPr>
          <w:sz w:val="18"/>
          <w:szCs w:val="18"/>
          <w:lang w:val="en-GB"/>
        </w:rPr>
        <w:fldChar w:fldCharType="separate"/>
      </w:r>
      <w:r w:rsidR="000A118D" w:rsidRPr="0029175B">
        <w:rPr>
          <w:sz w:val="18"/>
          <w:lang w:val="en-GB"/>
        </w:rPr>
        <w:t>(5)</w:t>
      </w:r>
      <w:r w:rsidR="000A118D" w:rsidRPr="0029175B">
        <w:rPr>
          <w:sz w:val="18"/>
          <w:szCs w:val="18"/>
          <w:lang w:val="en-GB"/>
        </w:rPr>
        <w:fldChar w:fldCharType="end"/>
      </w:r>
      <w:r w:rsidRPr="0029175B">
        <w:rPr>
          <w:rStyle w:val="Fett"/>
          <w:b w:val="0"/>
          <w:sz w:val="18"/>
          <w:szCs w:val="18"/>
          <w:lang w:val="en-GB"/>
        </w:rPr>
        <w:t xml:space="preserve">.  </w:t>
      </w:r>
    </w:p>
    <w:p w:rsidR="000F2CDE" w:rsidRDefault="00D64049" w:rsidP="00AD4CBC">
      <w:pPr>
        <w:pStyle w:val="Default"/>
        <w:spacing w:after="140" w:line="280" w:lineRule="exact"/>
        <w:rPr>
          <w:sz w:val="18"/>
          <w:szCs w:val="18"/>
          <w:lang w:val="en-GB"/>
        </w:rPr>
      </w:pPr>
      <w:r>
        <w:rPr>
          <w:rStyle w:val="Fett"/>
          <w:b w:val="0"/>
          <w:sz w:val="18"/>
          <w:szCs w:val="18"/>
          <w:lang w:val="en-GB"/>
        </w:rPr>
        <w:t>Patient disease r</w:t>
      </w:r>
      <w:r w:rsidR="00961C90" w:rsidRPr="0029175B">
        <w:rPr>
          <w:rStyle w:val="Fett"/>
          <w:b w:val="0"/>
          <w:sz w:val="18"/>
          <w:szCs w:val="18"/>
          <w:lang w:val="en-GB"/>
        </w:rPr>
        <w:t xml:space="preserve">egistries </w:t>
      </w:r>
      <w:r w:rsidR="00CD37AC">
        <w:rPr>
          <w:rStyle w:val="Fett"/>
          <w:b w:val="0"/>
          <w:sz w:val="18"/>
          <w:szCs w:val="18"/>
          <w:lang w:val="en-GB"/>
        </w:rPr>
        <w:t>are</w:t>
      </w:r>
      <w:r w:rsidR="00CD37AC">
        <w:rPr>
          <w:sz w:val="18"/>
          <w:szCs w:val="18"/>
          <w:lang w:val="en-GB"/>
        </w:rPr>
        <w:t xml:space="preserve"> o</w:t>
      </w:r>
      <w:r w:rsidR="00CD37AC" w:rsidRPr="00CD37AC">
        <w:rPr>
          <w:sz w:val="18"/>
          <w:szCs w:val="18"/>
          <w:lang w:val="en-GB"/>
        </w:rPr>
        <w:t>ften created by</w:t>
      </w:r>
      <w:r w:rsidR="00CD37AC">
        <w:rPr>
          <w:sz w:val="18"/>
          <w:szCs w:val="18"/>
          <w:lang w:val="en-GB"/>
        </w:rPr>
        <w:t xml:space="preserve"> public</w:t>
      </w:r>
      <w:r w:rsidR="00CD37AC" w:rsidRPr="00CD37AC">
        <w:rPr>
          <w:sz w:val="18"/>
          <w:szCs w:val="18"/>
          <w:lang w:val="en-GB"/>
        </w:rPr>
        <w:t xml:space="preserve"> organisations such as academia or </w:t>
      </w:r>
      <w:r w:rsidR="00CD37AC">
        <w:rPr>
          <w:sz w:val="18"/>
          <w:szCs w:val="18"/>
          <w:lang w:val="en-GB"/>
        </w:rPr>
        <w:t xml:space="preserve">medical </w:t>
      </w:r>
      <w:r w:rsidR="00CD37AC" w:rsidRPr="00CD37AC">
        <w:rPr>
          <w:sz w:val="18"/>
          <w:szCs w:val="18"/>
          <w:lang w:val="en-GB"/>
        </w:rPr>
        <w:t xml:space="preserve">research associations of health care professionals </w:t>
      </w:r>
      <w:r w:rsidR="00DA0700">
        <w:rPr>
          <w:sz w:val="18"/>
          <w:szCs w:val="18"/>
          <w:lang w:val="en-GB"/>
        </w:rPr>
        <w:t>or</w:t>
      </w:r>
      <w:r w:rsidR="00CD37AC" w:rsidRPr="00CD37AC">
        <w:rPr>
          <w:sz w:val="18"/>
          <w:szCs w:val="18"/>
          <w:lang w:val="en-GB"/>
        </w:rPr>
        <w:t xml:space="preserve"> patient</w:t>
      </w:r>
      <w:r w:rsidR="00E57364">
        <w:rPr>
          <w:sz w:val="18"/>
          <w:szCs w:val="18"/>
          <w:lang w:val="en-GB"/>
        </w:rPr>
        <w:t>s</w:t>
      </w:r>
      <w:r w:rsidR="00553483">
        <w:rPr>
          <w:sz w:val="18"/>
          <w:szCs w:val="18"/>
          <w:lang w:val="en-GB"/>
        </w:rPr>
        <w:t>. They may have</w:t>
      </w:r>
      <w:r w:rsidR="00961C90" w:rsidRPr="0029175B">
        <w:rPr>
          <w:sz w:val="18"/>
          <w:szCs w:val="18"/>
          <w:lang w:val="en-GB"/>
        </w:rPr>
        <w:t xml:space="preserve"> different objectives, such as to describe the natural history of a disorder, to monitor the efficacy or safety of treatments,</w:t>
      </w:r>
      <w:r w:rsidR="00C6045D">
        <w:rPr>
          <w:sz w:val="18"/>
          <w:szCs w:val="18"/>
          <w:lang w:val="en-GB"/>
        </w:rPr>
        <w:t xml:space="preserve"> for example in subpopulations (e.g. geriatric patients) for which pre-authorisation data are limited,</w:t>
      </w:r>
      <w:r w:rsidR="00961C90" w:rsidRPr="0029175B">
        <w:rPr>
          <w:sz w:val="18"/>
          <w:szCs w:val="18"/>
          <w:lang w:val="en-GB"/>
        </w:rPr>
        <w:t xml:space="preserve"> to describe the impact of a disease on patients’ health and quality of life or to identify patients suitable for </w:t>
      </w:r>
      <w:r w:rsidR="00961C90" w:rsidRPr="0029175B">
        <w:rPr>
          <w:sz w:val="18"/>
          <w:szCs w:val="18"/>
          <w:lang w:val="en-GB"/>
        </w:rPr>
        <w:lastRenderedPageBreak/>
        <w:t xml:space="preserve">new treatments. Irrespective of the original aim pursued by the registry, the data collected may also be useful to support the regulatory evaluation of benefits and risks of medicines. For this reason, regulators generally prefer </w:t>
      </w:r>
      <w:r w:rsidR="00961C90" w:rsidRPr="0029175B">
        <w:rPr>
          <w:i/>
          <w:iCs/>
          <w:sz w:val="18"/>
          <w:szCs w:val="18"/>
          <w:lang w:val="en-GB"/>
        </w:rPr>
        <w:t>disease registries</w:t>
      </w:r>
      <w:r w:rsidR="00756689" w:rsidRPr="0029175B">
        <w:rPr>
          <w:i/>
          <w:iCs/>
          <w:sz w:val="18"/>
          <w:szCs w:val="18"/>
          <w:lang w:val="en-GB"/>
        </w:rPr>
        <w:t xml:space="preserve">, </w:t>
      </w:r>
      <w:r w:rsidR="00756689" w:rsidRPr="0029175B">
        <w:rPr>
          <w:iCs/>
          <w:sz w:val="18"/>
          <w:szCs w:val="18"/>
          <w:lang w:val="en-GB"/>
        </w:rPr>
        <w:t>i.e. patient registries</w:t>
      </w:r>
      <w:r w:rsidR="00756689" w:rsidRPr="0029175B">
        <w:rPr>
          <w:i/>
          <w:iCs/>
          <w:sz w:val="18"/>
          <w:szCs w:val="18"/>
          <w:lang w:val="en-GB"/>
        </w:rPr>
        <w:t xml:space="preserve"> </w:t>
      </w:r>
      <w:r w:rsidR="00756689" w:rsidRPr="0029175B">
        <w:rPr>
          <w:iCs/>
          <w:sz w:val="18"/>
          <w:szCs w:val="18"/>
          <w:lang w:val="en-GB"/>
        </w:rPr>
        <w:t>where entry is determined by the diagnosis of a disease,</w:t>
      </w:r>
      <w:r w:rsidR="00961C90" w:rsidRPr="0029175B">
        <w:rPr>
          <w:i/>
          <w:iCs/>
          <w:sz w:val="18"/>
          <w:szCs w:val="18"/>
          <w:lang w:val="en-GB"/>
        </w:rPr>
        <w:t xml:space="preserve"> </w:t>
      </w:r>
      <w:r w:rsidR="00961C90" w:rsidRPr="0029175B">
        <w:rPr>
          <w:sz w:val="18"/>
          <w:szCs w:val="18"/>
          <w:lang w:val="en-GB"/>
        </w:rPr>
        <w:t xml:space="preserve">to </w:t>
      </w:r>
      <w:r w:rsidR="00961C90" w:rsidRPr="0029175B">
        <w:rPr>
          <w:i/>
          <w:iCs/>
          <w:sz w:val="18"/>
          <w:szCs w:val="18"/>
          <w:lang w:val="en-GB"/>
        </w:rPr>
        <w:t>product registries</w:t>
      </w:r>
      <w:r w:rsidR="00756689" w:rsidRPr="0029175B">
        <w:rPr>
          <w:i/>
          <w:iCs/>
          <w:sz w:val="18"/>
          <w:szCs w:val="18"/>
          <w:lang w:val="en-GB"/>
        </w:rPr>
        <w:t xml:space="preserve">, </w:t>
      </w:r>
      <w:r w:rsidR="00756689" w:rsidRPr="0029175B">
        <w:rPr>
          <w:iCs/>
          <w:sz w:val="18"/>
          <w:szCs w:val="18"/>
          <w:lang w:val="en-GB"/>
        </w:rPr>
        <w:t xml:space="preserve">i.e. patient registries where entry is determined by the prescription of a specific drug, </w:t>
      </w:r>
      <w:r w:rsidR="00961C90" w:rsidRPr="0029175B">
        <w:rPr>
          <w:sz w:val="18"/>
          <w:szCs w:val="18"/>
          <w:lang w:val="en-GB"/>
        </w:rPr>
        <w:t xml:space="preserve">as </w:t>
      </w:r>
      <w:r w:rsidR="00B118E9" w:rsidRPr="0029175B">
        <w:rPr>
          <w:sz w:val="18"/>
          <w:szCs w:val="18"/>
          <w:lang w:val="en-GB"/>
        </w:rPr>
        <w:t>disease registries</w:t>
      </w:r>
      <w:r w:rsidR="00961C90" w:rsidRPr="0029175B">
        <w:rPr>
          <w:sz w:val="18"/>
          <w:szCs w:val="18"/>
          <w:lang w:val="en-GB"/>
        </w:rPr>
        <w:t xml:space="preserve"> gather insights on clinical outcomes of conditions in patients receiving different treatments, rather than on the outcomes of a specific treatment</w:t>
      </w:r>
      <w:r w:rsidR="00551E63">
        <w:rPr>
          <w:sz w:val="18"/>
          <w:szCs w:val="18"/>
          <w:lang w:val="en-GB"/>
        </w:rPr>
        <w:t xml:space="preserve">, and they </w:t>
      </w:r>
      <w:r w:rsidR="00553483">
        <w:rPr>
          <w:sz w:val="18"/>
          <w:szCs w:val="18"/>
          <w:lang w:val="en-GB"/>
        </w:rPr>
        <w:t xml:space="preserve">may </w:t>
      </w:r>
      <w:r w:rsidR="00523D4B">
        <w:rPr>
          <w:sz w:val="18"/>
          <w:szCs w:val="18"/>
          <w:lang w:val="en-GB"/>
        </w:rPr>
        <w:t>support a wide</w:t>
      </w:r>
      <w:r w:rsidR="0058265A">
        <w:rPr>
          <w:sz w:val="18"/>
          <w:szCs w:val="18"/>
          <w:lang w:val="en-GB"/>
        </w:rPr>
        <w:t>r</w:t>
      </w:r>
      <w:r w:rsidR="00523D4B">
        <w:rPr>
          <w:sz w:val="18"/>
          <w:szCs w:val="18"/>
          <w:lang w:val="en-GB"/>
        </w:rPr>
        <w:t xml:space="preserve"> range of study designs, e.g.</w:t>
      </w:r>
      <w:r w:rsidR="00D30F32" w:rsidRPr="00D30F32">
        <w:rPr>
          <w:sz w:val="18"/>
          <w:szCs w:val="18"/>
          <w:lang w:val="en-GB"/>
        </w:rPr>
        <w:t xml:space="preserve"> controlled designs without an external data source</w:t>
      </w:r>
      <w:r w:rsidR="00961C90" w:rsidRPr="0029175B">
        <w:rPr>
          <w:sz w:val="18"/>
          <w:szCs w:val="18"/>
          <w:lang w:val="en-GB"/>
        </w:rPr>
        <w:t xml:space="preserve">. </w:t>
      </w:r>
      <w:r w:rsidR="000A2C8F" w:rsidRPr="0029175B">
        <w:rPr>
          <w:sz w:val="18"/>
          <w:szCs w:val="18"/>
          <w:lang w:val="en-GB"/>
        </w:rPr>
        <w:t>They</w:t>
      </w:r>
      <w:r w:rsidR="00961C90" w:rsidRPr="0029175B">
        <w:rPr>
          <w:sz w:val="18"/>
          <w:szCs w:val="18"/>
          <w:lang w:val="en-GB"/>
        </w:rPr>
        <w:t xml:space="preserve"> are also generally better integrated into health care systems and are therefore more likely to be sustainable and provide long-term follow-up data on patients.</w:t>
      </w:r>
      <w:r w:rsidR="000A2C8F" w:rsidRPr="0029175B">
        <w:rPr>
          <w:sz w:val="18"/>
          <w:szCs w:val="18"/>
          <w:lang w:val="en-GB"/>
        </w:rPr>
        <w:t xml:space="preserve"> </w:t>
      </w:r>
    </w:p>
    <w:p w:rsidR="006F09EA" w:rsidRPr="0029175B" w:rsidRDefault="00D64049" w:rsidP="006F09EA">
      <w:pPr>
        <w:pStyle w:val="Heading2Agency"/>
      </w:pPr>
      <w:bookmarkStart w:id="78" w:name="_Toc527730439"/>
      <w:bookmarkStart w:id="79" w:name="_Toc527799571"/>
      <w:bookmarkStart w:id="80" w:name="_Toc527799750"/>
      <w:bookmarkStart w:id="81" w:name="_Toc528934923"/>
      <w:bookmarkEnd w:id="78"/>
      <w:bookmarkEnd w:id="79"/>
      <w:bookmarkEnd w:id="80"/>
      <w:r w:rsidRPr="0029175B">
        <w:t>Registry and registry study</w:t>
      </w:r>
      <w:bookmarkEnd w:id="81"/>
    </w:p>
    <w:p w:rsidR="00613C2B" w:rsidRPr="0029175B" w:rsidRDefault="00D64049" w:rsidP="00AD4CBC">
      <w:pPr>
        <w:pStyle w:val="Default"/>
        <w:spacing w:after="140" w:line="280" w:lineRule="exact"/>
        <w:rPr>
          <w:sz w:val="18"/>
          <w:szCs w:val="18"/>
          <w:lang w:val="en-GB"/>
        </w:rPr>
      </w:pPr>
      <w:r w:rsidRPr="0029175B">
        <w:rPr>
          <w:sz w:val="18"/>
          <w:szCs w:val="18"/>
          <w:lang w:val="en-GB"/>
        </w:rPr>
        <w:t xml:space="preserve">The data collected in a registry may be used for the purpose of a specific </w:t>
      </w:r>
      <w:r w:rsidRPr="0029175B">
        <w:rPr>
          <w:i/>
          <w:sz w:val="18"/>
          <w:szCs w:val="18"/>
          <w:lang w:val="en-GB"/>
        </w:rPr>
        <w:t>study</w:t>
      </w:r>
      <w:r w:rsidRPr="0029175B">
        <w:rPr>
          <w:sz w:val="18"/>
          <w:szCs w:val="18"/>
          <w:lang w:val="en-GB"/>
        </w:rPr>
        <w:t xml:space="preserve">, i.e. a detailed investigation of a research question or hypothesis. The difference between a </w:t>
      </w:r>
      <w:r w:rsidRPr="0029175B">
        <w:rPr>
          <w:i/>
          <w:sz w:val="18"/>
          <w:szCs w:val="18"/>
          <w:lang w:val="en-GB"/>
        </w:rPr>
        <w:t>registry</w:t>
      </w:r>
      <w:r w:rsidRPr="0029175B">
        <w:rPr>
          <w:sz w:val="18"/>
          <w:szCs w:val="18"/>
          <w:lang w:val="en-GB"/>
        </w:rPr>
        <w:t xml:space="preserve"> and a</w:t>
      </w:r>
      <w:r w:rsidR="00CD37AC">
        <w:rPr>
          <w:sz w:val="18"/>
          <w:szCs w:val="18"/>
          <w:lang w:val="en-GB"/>
        </w:rPr>
        <w:t xml:space="preserve"> registry-based study (</w:t>
      </w:r>
      <w:r w:rsidR="003D03B0">
        <w:rPr>
          <w:sz w:val="18"/>
          <w:szCs w:val="18"/>
          <w:lang w:val="en-GB"/>
        </w:rPr>
        <w:t xml:space="preserve">a </w:t>
      </w:r>
      <w:r w:rsidR="000A2C8F" w:rsidRPr="0029175B">
        <w:rPr>
          <w:i/>
          <w:sz w:val="18"/>
          <w:szCs w:val="18"/>
          <w:lang w:val="en-GB"/>
        </w:rPr>
        <w:t>registry</w:t>
      </w:r>
      <w:r w:rsidRPr="0029175B">
        <w:rPr>
          <w:i/>
          <w:sz w:val="18"/>
          <w:szCs w:val="18"/>
          <w:lang w:val="en-GB"/>
        </w:rPr>
        <w:t xml:space="preserve"> study</w:t>
      </w:r>
      <w:r w:rsidR="00CD37AC">
        <w:rPr>
          <w:i/>
          <w:sz w:val="18"/>
          <w:szCs w:val="18"/>
          <w:lang w:val="en-GB"/>
        </w:rPr>
        <w:t>)</w:t>
      </w:r>
      <w:r w:rsidRPr="0029175B">
        <w:rPr>
          <w:sz w:val="18"/>
          <w:szCs w:val="18"/>
          <w:lang w:val="en-GB"/>
        </w:rPr>
        <w:t xml:space="preserve"> must be well understood to avoid confusion in concepts and methods. It is acknowledged that, as </w:t>
      </w:r>
      <w:r w:rsidR="006F09EA" w:rsidRPr="0029175B">
        <w:rPr>
          <w:sz w:val="18"/>
          <w:szCs w:val="18"/>
          <w:lang w:val="en-GB"/>
        </w:rPr>
        <w:t xml:space="preserve">previously </w:t>
      </w:r>
      <w:r w:rsidRPr="0029175B">
        <w:rPr>
          <w:sz w:val="18"/>
          <w:szCs w:val="18"/>
          <w:lang w:val="en-GB"/>
        </w:rPr>
        <w:t>highlighted</w:t>
      </w:r>
      <w:r w:rsidR="00303B02" w:rsidRPr="0029175B">
        <w:rPr>
          <w:sz w:val="18"/>
          <w:szCs w:val="18"/>
          <w:lang w:val="en-GB"/>
        </w:rPr>
        <w:t xml:space="preserve"> </w:t>
      </w:r>
      <w:r w:rsidR="00303B02" w:rsidRPr="0029175B">
        <w:rPr>
          <w:sz w:val="18"/>
          <w:szCs w:val="18"/>
          <w:lang w:val="en-GB"/>
        </w:rPr>
        <w:fldChar w:fldCharType="begin"/>
      </w:r>
      <w:r w:rsidR="00303B02" w:rsidRPr="0029175B">
        <w:rPr>
          <w:sz w:val="18"/>
          <w:szCs w:val="18"/>
          <w:lang w:val="en-GB"/>
        </w:rPr>
        <w:instrText xml:space="preserve"> ADDIN ZOTERO_ITEM CSL_CITATION {"citationID":"a27ufluu652","properties":{"formattedCitation":"(2)","plainCitation":"(2)"},"citationItems":[{"id":2177,"uris":["http://zotero.org/users/local/tAKp4fcl/items/XCRQQLYV"],"uri":["http://zotero.org/users/local/tAKp4fcl/items/XCRQQLYV"],"itemData":{"id":2177,"type":"article-journal","title":"Registries in European post-marketing surveillance: a retrospective analysis of centrally approved products, 2005-2013","container-title":"Pharmacoepidemiology and Drug Safety","page":"1442-1450","volume":"26","issue":"12","source":"PubMed","abstract":"PURPOSE: Regulatory agencies and other stakeholders increasingly rely on data collected through registries to support their decision-making. Data from registries are a cornerstone of post-marketing surveillance for monitoring the use of medicines in clinical practice. This study was aimed at gaining further insight into the European Medicines Agency's (EMA) requests for new registries and registry studies using existing registries and to review the experience gained in their conduct.\nMETHODS: European Public Assessment Reports were consulted to identify products for which a request for a registry was made as a condition of the marketing authorisation. All centrally authorised products that received a positive opinion of the EMA Committee for Medicinal Products for Human Use between 1 January 2005 and 31 December 2013 were included. Data regarding registry design and experiences were collected from EMA electronic record keeping systems.\nRESULTS: Of 392 products that received a positive Committee for Medicinal Products for Human Use opinion during 2005-2013, 31 registries were requested for 30 products in total. Sixty-five percent were product registries whereas 35% were disease registries and 71% of the registries had a primary safety objective. Most commonly reported issues with registries were delayed time to start and low patient accrual rates.\nCONCLUSIONS: The delays found in getting new registries up and running support the need to improve the timeliness of data collection in the post-marketing setting. Methodological challenges met in conducting this study highlighted the need for a clarification of definitions and epidemiological concepts around patient registries. The results will inform the EMA Patient Registry initiative to support use of existing patient registries for the post-authorisation benefit-risk monitoring of medicinal products. © 2017 Commonwealth of Australia. Pharmacoepidemiology &amp; Drug Safety © 2017 John Wiley &amp; Sons, Ltd.","DOI":"10.1002/pds.4196","ISSN":"1099-1557","note":"PMID: 28345151","shortTitle":"Registries in European post-marketing surveillance","journalAbbreviation":"Pharmacoepidemiol Drug Saf","language":"eng","author":[{"family":"Bouvy","given":"Jacoline C."},{"family":"Blake","given":"Kevin"},{"family":"Slattery","given":"Jim"},{"family":"De Bruin","given":"Marie L."},{"family":"Arlett","given":"Peter"},{"family":"Kurz","given":"Xavier"}],"issued":{"date-parts":[["2017",12]]}}}],"schema":"https://github.com/citation-style-language/schema/raw/master/csl-citation.json"} </w:instrText>
      </w:r>
      <w:r w:rsidR="00303B02" w:rsidRPr="0029175B">
        <w:rPr>
          <w:sz w:val="18"/>
          <w:szCs w:val="18"/>
          <w:lang w:val="en-GB"/>
        </w:rPr>
        <w:fldChar w:fldCharType="separate"/>
      </w:r>
      <w:r w:rsidR="00303B02" w:rsidRPr="0029175B">
        <w:rPr>
          <w:sz w:val="18"/>
          <w:lang w:val="en-GB"/>
        </w:rPr>
        <w:t>(2)</w:t>
      </w:r>
      <w:r w:rsidR="00303B02" w:rsidRPr="0029175B">
        <w:rPr>
          <w:sz w:val="18"/>
          <w:szCs w:val="18"/>
          <w:lang w:val="en-GB"/>
        </w:rPr>
        <w:fldChar w:fldCharType="end"/>
      </w:r>
      <w:r w:rsidR="00303B02" w:rsidRPr="0029175B">
        <w:rPr>
          <w:sz w:val="18"/>
          <w:szCs w:val="18"/>
          <w:lang w:val="en-GB"/>
        </w:rPr>
        <w:t xml:space="preserve"> </w:t>
      </w:r>
      <w:r w:rsidR="00303B02" w:rsidRPr="006E7959">
        <w:rPr>
          <w:sz w:val="18"/>
          <w:szCs w:val="18"/>
          <w:lang w:val="en-GB"/>
        </w:rPr>
        <w:fldChar w:fldCharType="begin"/>
      </w:r>
      <w:r w:rsidR="005E2E45">
        <w:rPr>
          <w:sz w:val="18"/>
          <w:szCs w:val="18"/>
          <w:lang w:val="en-GB"/>
        </w:rPr>
        <w:instrText xml:space="preserve"> ADDIN ZOTERO_ITEM CSL_CITATION {"citationID":"agp6ld0g05","properties":{"formattedCitation":"(19)","plainCitation":"(19)"},"citationItems":[{"id":2206,"uris":["http://zotero.org/users/local/tAKp4fcl/items/CF6F2T4K"],"uri":["http://zotero.org/users/local/tAKp4fcl/items/CF6F2T4K"],"itemData":{"id":2206,"type":"article-journal","title":"Imposed registries within the European postmarketing surveillance system: Extended analysis and lessons learned for regulators","container-title":"Pharmacoepidemiology and Drug Safety","page":"823-826","volume":"27","issue":"7","source":"PubMed","abstract":"PURPOSE: Building on previous research, we examined whether delayed study start and low patient accrual rates found in 31 postauthorization registry-based studies requested by European Medicines Agency (EMA) are maintained after 2 additional years of follow-up.\nMETHOD: The registries identified in the previous EMA study and the same methodology were used. The follow-up was extended from June 2015 to November 2017. The information available for the following variables was updated: marketing authorization status, study and registry status, study end date, planned duration, number of patients planned to be enrolled, and actual patients enrolled. Data were collected from several nonpublic in-house sources such as the study protocols, interim and final study reports, risk management plans, and periodic safety update reports.\nRESULTS: As of November 2017, 10 (32.2%) studies were finalized (vs. 9.7% as of June 2015), 14 (45.2%) were still ongoing (vs. 64.5%). Four of the ongoing studies had patients' accrual lower than 50%. Six of the finalized studies had a delayed completion, with a median delay of 3 years. As of November 2017, the median patients' accrual percentages were 24% for ongoing studies (vs. 8.5%) and 101% for finalized studies (vs. 24%).\nCONCLUSION: Overall, the rate of recruitment and timely finalization were improved after 2 years of additional follow-up but show that further work is needed to facilitate use of registry data for regulatory purposes, a work that has started via the EMA registry initiative.","DOI":"10.1002/pds.4449","ISSN":"1099-1557","note":"PMID: 29749086","shortTitle":"Imposed registries within the European postmarketing surveillance system","journalAbbreviation":"Pharmacoepidemiol Drug Saf","language":"eng","author":[{"family":"Pacurariu","given":"Alexandra"},{"family":"Plueschke","given":"Kelly"},{"family":"Olmo","given":"Carla Alonso"},{"family":"Kurz","given":"Xavier"}],"issued":{"date-parts":[["2018",7]]}}}],"schema":"https://github.com/citation-style-language/schema/raw/master/csl-citation.json"} </w:instrText>
      </w:r>
      <w:r w:rsidR="00303B02" w:rsidRPr="006E7959">
        <w:rPr>
          <w:sz w:val="18"/>
          <w:szCs w:val="18"/>
          <w:lang w:val="en-GB"/>
        </w:rPr>
        <w:fldChar w:fldCharType="separate"/>
      </w:r>
      <w:r w:rsidR="005E2E45" w:rsidRPr="005E2E45">
        <w:rPr>
          <w:sz w:val="18"/>
        </w:rPr>
        <w:t>(19)</w:t>
      </w:r>
      <w:r w:rsidR="00303B02" w:rsidRPr="006E7959">
        <w:rPr>
          <w:sz w:val="18"/>
          <w:szCs w:val="18"/>
          <w:lang w:val="en-GB"/>
        </w:rPr>
        <w:fldChar w:fldCharType="end"/>
      </w:r>
      <w:r w:rsidR="006F09EA" w:rsidRPr="00C33B6D">
        <w:rPr>
          <w:sz w:val="18"/>
          <w:szCs w:val="18"/>
          <w:lang w:val="en-GB"/>
        </w:rPr>
        <w:t>,</w:t>
      </w:r>
      <w:r w:rsidRPr="0029175B">
        <w:rPr>
          <w:sz w:val="18"/>
          <w:szCs w:val="18"/>
          <w:lang w:val="en-GB"/>
        </w:rPr>
        <w:t xml:space="preserve"> regulators</w:t>
      </w:r>
      <w:r w:rsidR="006F09EA" w:rsidRPr="0029175B">
        <w:rPr>
          <w:sz w:val="18"/>
          <w:szCs w:val="18"/>
          <w:lang w:val="en-GB"/>
        </w:rPr>
        <w:t xml:space="preserve"> </w:t>
      </w:r>
      <w:r w:rsidR="007F5789">
        <w:rPr>
          <w:sz w:val="18"/>
          <w:szCs w:val="18"/>
          <w:lang w:val="en-GB"/>
        </w:rPr>
        <w:t xml:space="preserve">have sometimes </w:t>
      </w:r>
      <w:r w:rsidR="00551E63" w:rsidRPr="0029175B">
        <w:rPr>
          <w:sz w:val="18"/>
          <w:szCs w:val="18"/>
          <w:lang w:val="en-GB"/>
        </w:rPr>
        <w:t>request</w:t>
      </w:r>
      <w:r w:rsidR="00551E63">
        <w:rPr>
          <w:sz w:val="18"/>
          <w:szCs w:val="18"/>
          <w:lang w:val="en-GB"/>
        </w:rPr>
        <w:t>ed</w:t>
      </w:r>
      <w:r w:rsidR="00551E63" w:rsidRPr="0029175B">
        <w:rPr>
          <w:sz w:val="18"/>
          <w:szCs w:val="18"/>
          <w:lang w:val="en-GB"/>
        </w:rPr>
        <w:t xml:space="preserve"> </w:t>
      </w:r>
      <w:r w:rsidR="006F09EA" w:rsidRPr="0029175B">
        <w:rPr>
          <w:sz w:val="18"/>
          <w:szCs w:val="18"/>
          <w:lang w:val="en-GB"/>
        </w:rPr>
        <w:t xml:space="preserve">marketing </w:t>
      </w:r>
      <w:r w:rsidR="002373D4" w:rsidRPr="0029175B">
        <w:rPr>
          <w:sz w:val="18"/>
          <w:szCs w:val="18"/>
          <w:lang w:val="en-GB"/>
        </w:rPr>
        <w:t>authori</w:t>
      </w:r>
      <w:r w:rsidR="002373D4">
        <w:rPr>
          <w:sz w:val="18"/>
          <w:szCs w:val="18"/>
          <w:lang w:val="en-GB"/>
        </w:rPr>
        <w:t>s</w:t>
      </w:r>
      <w:r w:rsidR="002373D4" w:rsidRPr="0029175B">
        <w:rPr>
          <w:sz w:val="18"/>
          <w:szCs w:val="18"/>
          <w:lang w:val="en-GB"/>
        </w:rPr>
        <w:t xml:space="preserve">ation </w:t>
      </w:r>
      <w:r w:rsidR="006F09EA" w:rsidRPr="0029175B">
        <w:rPr>
          <w:sz w:val="18"/>
          <w:szCs w:val="18"/>
          <w:lang w:val="en-GB"/>
        </w:rPr>
        <w:t>holders (MAHs)</w:t>
      </w:r>
      <w:r w:rsidR="007F5789">
        <w:rPr>
          <w:sz w:val="18"/>
          <w:szCs w:val="18"/>
          <w:lang w:val="en-GB"/>
        </w:rPr>
        <w:t xml:space="preserve"> </w:t>
      </w:r>
      <w:r w:rsidRPr="0029175B">
        <w:rPr>
          <w:sz w:val="18"/>
          <w:szCs w:val="18"/>
          <w:lang w:val="en-GB"/>
        </w:rPr>
        <w:t xml:space="preserve">to establish a </w:t>
      </w:r>
      <w:r w:rsidRPr="006E7959">
        <w:rPr>
          <w:i/>
          <w:sz w:val="18"/>
          <w:szCs w:val="18"/>
          <w:lang w:val="en-GB"/>
        </w:rPr>
        <w:t>registry</w:t>
      </w:r>
      <w:r w:rsidRPr="0029175B">
        <w:rPr>
          <w:sz w:val="18"/>
          <w:szCs w:val="18"/>
          <w:lang w:val="en-GB"/>
        </w:rPr>
        <w:t xml:space="preserve">, although the objective was to perform a </w:t>
      </w:r>
      <w:r w:rsidR="006F09EA" w:rsidRPr="0029175B">
        <w:rPr>
          <w:sz w:val="18"/>
          <w:szCs w:val="18"/>
          <w:lang w:val="en-GB"/>
        </w:rPr>
        <w:t>post-authorisation safety study</w:t>
      </w:r>
      <w:r w:rsidR="0088223B" w:rsidRPr="0029175B">
        <w:rPr>
          <w:sz w:val="18"/>
          <w:szCs w:val="18"/>
          <w:lang w:val="en-GB"/>
        </w:rPr>
        <w:t xml:space="preserve"> (PASS)</w:t>
      </w:r>
      <w:r w:rsidRPr="0029175B">
        <w:rPr>
          <w:sz w:val="18"/>
          <w:szCs w:val="18"/>
          <w:lang w:val="en-GB"/>
        </w:rPr>
        <w:t xml:space="preserve"> to monitor the safety of a product</w:t>
      </w:r>
      <w:r w:rsidR="0088223B" w:rsidRPr="0029175B">
        <w:rPr>
          <w:sz w:val="18"/>
          <w:szCs w:val="18"/>
          <w:lang w:val="en-GB"/>
        </w:rPr>
        <w:t>.</w:t>
      </w:r>
      <w:r w:rsidRPr="0029175B">
        <w:rPr>
          <w:sz w:val="18"/>
          <w:szCs w:val="18"/>
          <w:lang w:val="en-GB"/>
        </w:rPr>
        <w:t xml:space="preserve"> </w:t>
      </w:r>
      <w:r w:rsidR="00700C93">
        <w:rPr>
          <w:sz w:val="18"/>
          <w:szCs w:val="18"/>
          <w:lang w:val="en-GB"/>
        </w:rPr>
        <w:t>Some e</w:t>
      </w:r>
      <w:r w:rsidR="002373D4">
        <w:rPr>
          <w:sz w:val="18"/>
          <w:szCs w:val="18"/>
          <w:lang w:val="en-GB"/>
        </w:rPr>
        <w:t>xisting</w:t>
      </w:r>
      <w:r w:rsidR="002373D4" w:rsidRPr="0029175B">
        <w:rPr>
          <w:sz w:val="18"/>
          <w:szCs w:val="18"/>
          <w:lang w:val="en-GB"/>
        </w:rPr>
        <w:t xml:space="preserve"> </w:t>
      </w:r>
      <w:r w:rsidRPr="0029175B">
        <w:rPr>
          <w:sz w:val="18"/>
          <w:szCs w:val="18"/>
          <w:lang w:val="en-GB"/>
        </w:rPr>
        <w:t xml:space="preserve">guidance </w:t>
      </w:r>
      <w:r w:rsidR="00551E63">
        <w:rPr>
          <w:sz w:val="18"/>
          <w:szCs w:val="18"/>
          <w:lang w:val="en-GB"/>
        </w:rPr>
        <w:t>seem</w:t>
      </w:r>
      <w:r w:rsidR="00553483">
        <w:rPr>
          <w:sz w:val="18"/>
          <w:szCs w:val="18"/>
          <w:lang w:val="en-GB"/>
        </w:rPr>
        <w:t>s</w:t>
      </w:r>
      <w:r w:rsidR="00551E63">
        <w:rPr>
          <w:sz w:val="18"/>
          <w:szCs w:val="18"/>
          <w:lang w:val="en-GB"/>
        </w:rPr>
        <w:t xml:space="preserve"> </w:t>
      </w:r>
      <w:r w:rsidR="0088223B" w:rsidRPr="0029175B">
        <w:rPr>
          <w:sz w:val="18"/>
          <w:szCs w:val="18"/>
          <w:lang w:val="en-GB"/>
        </w:rPr>
        <w:t xml:space="preserve">also </w:t>
      </w:r>
      <w:r w:rsidR="00551E63">
        <w:rPr>
          <w:sz w:val="18"/>
          <w:szCs w:val="18"/>
          <w:lang w:val="en-GB"/>
        </w:rPr>
        <w:t xml:space="preserve">to </w:t>
      </w:r>
      <w:r w:rsidRPr="0029175B">
        <w:rPr>
          <w:sz w:val="18"/>
          <w:szCs w:val="18"/>
          <w:lang w:val="en-GB"/>
        </w:rPr>
        <w:t xml:space="preserve">use the terms </w:t>
      </w:r>
      <w:r w:rsidR="007F5789">
        <w:rPr>
          <w:sz w:val="18"/>
          <w:szCs w:val="18"/>
          <w:lang w:val="en-GB"/>
        </w:rPr>
        <w:t>“</w:t>
      </w:r>
      <w:r w:rsidRPr="0029175B">
        <w:rPr>
          <w:sz w:val="18"/>
          <w:szCs w:val="18"/>
          <w:lang w:val="en-GB"/>
        </w:rPr>
        <w:t>registry</w:t>
      </w:r>
      <w:r w:rsidR="007F5789">
        <w:rPr>
          <w:sz w:val="18"/>
          <w:szCs w:val="18"/>
          <w:lang w:val="en-GB"/>
        </w:rPr>
        <w:t>”</w:t>
      </w:r>
      <w:r w:rsidRPr="0029175B">
        <w:rPr>
          <w:sz w:val="18"/>
          <w:szCs w:val="18"/>
          <w:lang w:val="en-GB"/>
        </w:rPr>
        <w:t xml:space="preserve"> and </w:t>
      </w:r>
      <w:r w:rsidR="007F5789">
        <w:rPr>
          <w:sz w:val="18"/>
          <w:szCs w:val="18"/>
          <w:lang w:val="en-GB"/>
        </w:rPr>
        <w:t>“</w:t>
      </w:r>
      <w:r w:rsidRPr="0029175B">
        <w:rPr>
          <w:sz w:val="18"/>
          <w:szCs w:val="18"/>
          <w:lang w:val="en-GB"/>
        </w:rPr>
        <w:t>study</w:t>
      </w:r>
      <w:r w:rsidR="007F5789">
        <w:rPr>
          <w:sz w:val="18"/>
          <w:szCs w:val="18"/>
          <w:lang w:val="en-GB"/>
        </w:rPr>
        <w:t>”</w:t>
      </w:r>
      <w:r w:rsidRPr="0029175B">
        <w:rPr>
          <w:sz w:val="18"/>
          <w:szCs w:val="18"/>
          <w:lang w:val="en-GB"/>
        </w:rPr>
        <w:t xml:space="preserve"> interchangeably. </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The main differences </w:t>
      </w:r>
      <w:r w:rsidR="00613C2B" w:rsidRPr="0029175B">
        <w:rPr>
          <w:sz w:val="18"/>
          <w:szCs w:val="18"/>
          <w:lang w:val="en-GB"/>
        </w:rPr>
        <w:t xml:space="preserve">between a registry and a registry study </w:t>
      </w:r>
      <w:r w:rsidRPr="0029175B">
        <w:rPr>
          <w:sz w:val="18"/>
          <w:szCs w:val="18"/>
          <w:lang w:val="en-GB"/>
        </w:rPr>
        <w:t>are summarised in Table 1 and include the following</w:t>
      </w:r>
      <w:r w:rsidR="0088223B" w:rsidRPr="0029175B">
        <w:rPr>
          <w:sz w:val="18"/>
          <w:szCs w:val="18"/>
          <w:lang w:val="en-GB"/>
        </w:rPr>
        <w:t xml:space="preserve"> aspects</w:t>
      </w:r>
      <w:r w:rsidRPr="0029175B">
        <w:rPr>
          <w:sz w:val="18"/>
          <w:szCs w:val="18"/>
          <w:lang w:val="en-GB"/>
        </w:rPr>
        <w:t>:</w:t>
      </w:r>
    </w:p>
    <w:p w:rsidR="00AD4CBC" w:rsidRPr="0029175B" w:rsidRDefault="00D64049" w:rsidP="00AD4CBC">
      <w:pPr>
        <w:pStyle w:val="Default"/>
        <w:spacing w:after="140" w:line="280" w:lineRule="exact"/>
        <w:rPr>
          <w:sz w:val="18"/>
          <w:szCs w:val="18"/>
          <w:lang w:val="en-GB"/>
        </w:rPr>
      </w:pPr>
      <w:r w:rsidRPr="004C685B">
        <w:rPr>
          <w:i/>
          <w:sz w:val="18"/>
          <w:szCs w:val="18"/>
          <w:lang w:val="en-GB"/>
        </w:rPr>
        <w:t>1)</w:t>
      </w:r>
      <w:r w:rsidRPr="0029175B">
        <w:rPr>
          <w:sz w:val="18"/>
          <w:szCs w:val="18"/>
          <w:lang w:val="en-GB"/>
        </w:rPr>
        <w:t xml:space="preserve"> </w:t>
      </w:r>
      <w:r w:rsidRPr="004C685B">
        <w:rPr>
          <w:i/>
          <w:sz w:val="18"/>
          <w:szCs w:val="18"/>
          <w:lang w:val="en-GB"/>
        </w:rPr>
        <w:t>Nature</w:t>
      </w:r>
      <w:r w:rsidRPr="0029175B">
        <w:rPr>
          <w:sz w:val="18"/>
          <w:szCs w:val="18"/>
          <w:lang w:val="en-GB"/>
        </w:rPr>
        <w:t xml:space="preserve">: </w:t>
      </w:r>
      <w:r w:rsidR="00373FAB" w:rsidRPr="0029175B">
        <w:rPr>
          <w:sz w:val="18"/>
          <w:szCs w:val="18"/>
          <w:lang w:val="en-GB"/>
        </w:rPr>
        <w:t xml:space="preserve">a </w:t>
      </w:r>
      <w:r w:rsidRPr="0029175B">
        <w:rPr>
          <w:sz w:val="18"/>
          <w:szCs w:val="18"/>
          <w:lang w:val="en-GB"/>
        </w:rPr>
        <w:t xml:space="preserve">patient registry is </w:t>
      </w:r>
      <w:r w:rsidR="000A2C8F" w:rsidRPr="0029175B">
        <w:rPr>
          <w:sz w:val="18"/>
          <w:szCs w:val="18"/>
          <w:lang w:val="en-GB"/>
        </w:rPr>
        <w:t xml:space="preserve">a </w:t>
      </w:r>
      <w:r w:rsidR="000A2C8F" w:rsidRPr="003D03B0">
        <w:rPr>
          <w:sz w:val="18"/>
          <w:szCs w:val="18"/>
          <w:lang w:val="en-GB"/>
        </w:rPr>
        <w:t>data collection system</w:t>
      </w:r>
      <w:r w:rsidR="00373FAB" w:rsidRPr="0029175B">
        <w:rPr>
          <w:sz w:val="18"/>
          <w:szCs w:val="18"/>
          <w:lang w:val="en-GB"/>
        </w:rPr>
        <w:t>. A</w:t>
      </w:r>
      <w:r w:rsidRPr="0029175B">
        <w:rPr>
          <w:sz w:val="18"/>
          <w:szCs w:val="18"/>
          <w:lang w:val="en-GB"/>
        </w:rPr>
        <w:t xml:space="preserve"> registry study is </w:t>
      </w:r>
      <w:r w:rsidR="00551E63">
        <w:rPr>
          <w:sz w:val="18"/>
          <w:szCs w:val="18"/>
          <w:lang w:val="en-GB"/>
        </w:rPr>
        <w:t xml:space="preserve">an </w:t>
      </w:r>
      <w:r w:rsidR="00551E63" w:rsidRPr="003D03B0">
        <w:rPr>
          <w:sz w:val="18"/>
          <w:szCs w:val="18"/>
          <w:lang w:val="en-GB"/>
        </w:rPr>
        <w:t>investigation</w:t>
      </w:r>
      <w:r w:rsidR="00CA6817" w:rsidRPr="0029175B">
        <w:rPr>
          <w:sz w:val="18"/>
          <w:szCs w:val="18"/>
          <w:lang w:val="en-GB"/>
        </w:rPr>
        <w:t xml:space="preserve"> set up to answer a research question t</w:t>
      </w:r>
      <w:r w:rsidR="00AA12F7" w:rsidRPr="0029175B">
        <w:rPr>
          <w:sz w:val="18"/>
          <w:szCs w:val="18"/>
          <w:lang w:val="en-GB"/>
        </w:rPr>
        <w:t>h</w:t>
      </w:r>
      <w:r w:rsidR="00CA6817" w:rsidRPr="0029175B">
        <w:rPr>
          <w:sz w:val="18"/>
          <w:szCs w:val="18"/>
          <w:lang w:val="en-GB"/>
        </w:rPr>
        <w:t>at uses</w:t>
      </w:r>
      <w:r w:rsidRPr="0029175B">
        <w:rPr>
          <w:sz w:val="18"/>
          <w:szCs w:val="18"/>
          <w:lang w:val="en-GB"/>
        </w:rPr>
        <w:t xml:space="preserve"> data collected in the registry</w:t>
      </w:r>
      <w:r w:rsidR="00822DC5" w:rsidRPr="0029175B">
        <w:rPr>
          <w:sz w:val="18"/>
          <w:szCs w:val="18"/>
          <w:lang w:val="en-GB"/>
        </w:rPr>
        <w:t xml:space="preserve">, and which may be initiated, managed or financed by a pharmaceutical company, a regulatory authority or another </w:t>
      </w:r>
      <w:r w:rsidR="00551E63">
        <w:rPr>
          <w:sz w:val="18"/>
          <w:szCs w:val="18"/>
          <w:lang w:val="en-GB"/>
        </w:rPr>
        <w:t>organisation</w:t>
      </w:r>
      <w:r w:rsidR="00373FAB" w:rsidRPr="0029175B">
        <w:rPr>
          <w:sz w:val="18"/>
          <w:szCs w:val="18"/>
          <w:lang w:val="en-GB"/>
        </w:rPr>
        <w:t>.</w:t>
      </w:r>
    </w:p>
    <w:p w:rsidR="00AD4CBC" w:rsidRPr="0029175B" w:rsidRDefault="00D64049" w:rsidP="00AD4CBC">
      <w:pPr>
        <w:pStyle w:val="Default"/>
        <w:spacing w:after="140" w:line="280" w:lineRule="exact"/>
        <w:rPr>
          <w:sz w:val="18"/>
          <w:szCs w:val="18"/>
          <w:lang w:val="en-GB"/>
        </w:rPr>
      </w:pPr>
      <w:r w:rsidRPr="004C685B">
        <w:rPr>
          <w:i/>
          <w:sz w:val="18"/>
          <w:szCs w:val="18"/>
          <w:lang w:val="en-GB"/>
        </w:rPr>
        <w:t>2) Timelines</w:t>
      </w:r>
      <w:r w:rsidRPr="0029175B">
        <w:rPr>
          <w:sz w:val="18"/>
          <w:szCs w:val="18"/>
          <w:lang w:val="en-GB"/>
        </w:rPr>
        <w:t xml:space="preserve">: a </w:t>
      </w:r>
      <w:r w:rsidR="00261E60">
        <w:rPr>
          <w:sz w:val="18"/>
          <w:szCs w:val="18"/>
          <w:lang w:val="en-GB"/>
        </w:rPr>
        <w:t xml:space="preserve">disease </w:t>
      </w:r>
      <w:r w:rsidRPr="0029175B">
        <w:rPr>
          <w:sz w:val="18"/>
          <w:szCs w:val="18"/>
          <w:lang w:val="en-GB"/>
        </w:rPr>
        <w:t xml:space="preserve">registry is a long-term </w:t>
      </w:r>
      <w:r w:rsidR="000F2CDE" w:rsidRPr="0029175B">
        <w:rPr>
          <w:sz w:val="18"/>
          <w:szCs w:val="18"/>
          <w:lang w:val="en-GB"/>
        </w:rPr>
        <w:t>endeavour</w:t>
      </w:r>
      <w:r w:rsidRPr="0029175B">
        <w:rPr>
          <w:sz w:val="18"/>
          <w:szCs w:val="18"/>
          <w:lang w:val="en-GB"/>
        </w:rPr>
        <w:t xml:space="preserve"> and in principle </w:t>
      </w:r>
      <w:r w:rsidR="00261E60">
        <w:rPr>
          <w:sz w:val="18"/>
          <w:szCs w:val="18"/>
          <w:lang w:val="en-GB"/>
        </w:rPr>
        <w:t>it</w:t>
      </w:r>
      <w:r w:rsidR="00261E60" w:rsidRPr="0029175B">
        <w:rPr>
          <w:sz w:val="18"/>
          <w:szCs w:val="18"/>
          <w:lang w:val="en-GB"/>
        </w:rPr>
        <w:t xml:space="preserve"> </w:t>
      </w:r>
      <w:r w:rsidR="00261E60">
        <w:rPr>
          <w:sz w:val="18"/>
          <w:szCs w:val="18"/>
          <w:lang w:val="en-GB"/>
        </w:rPr>
        <w:t>has</w:t>
      </w:r>
      <w:r w:rsidR="00261E60" w:rsidRPr="0029175B">
        <w:rPr>
          <w:sz w:val="18"/>
          <w:szCs w:val="18"/>
          <w:lang w:val="en-GB"/>
        </w:rPr>
        <w:t xml:space="preserve"> </w:t>
      </w:r>
      <w:r w:rsidRPr="0029175B">
        <w:rPr>
          <w:sz w:val="18"/>
          <w:szCs w:val="18"/>
          <w:lang w:val="en-GB"/>
        </w:rPr>
        <w:t xml:space="preserve">no end. Timelines are driven by schedules for data collection (schedule of medical consultations or other encounters between patients and registry participants) and for routine data analyses. On the other hand, timelines for a registry study are driven by the time needed to collect or extract the data relevant for the specific study objective and </w:t>
      </w:r>
      <w:r w:rsidR="00786544" w:rsidRPr="0029175B">
        <w:rPr>
          <w:sz w:val="18"/>
          <w:szCs w:val="18"/>
          <w:lang w:val="en-GB"/>
        </w:rPr>
        <w:t xml:space="preserve">to </w:t>
      </w:r>
      <w:r w:rsidRPr="0029175B">
        <w:rPr>
          <w:sz w:val="18"/>
          <w:szCs w:val="18"/>
          <w:lang w:val="en-GB"/>
        </w:rPr>
        <w:t xml:space="preserve">perform the analyses. </w:t>
      </w:r>
    </w:p>
    <w:p w:rsidR="00AD4CBC" w:rsidRPr="0029175B" w:rsidRDefault="00D64049" w:rsidP="00AD4CBC">
      <w:pPr>
        <w:pStyle w:val="Default"/>
        <w:spacing w:after="140" w:line="280" w:lineRule="exact"/>
        <w:rPr>
          <w:sz w:val="18"/>
          <w:szCs w:val="18"/>
          <w:lang w:val="en-GB"/>
        </w:rPr>
      </w:pPr>
      <w:r w:rsidRPr="004C685B">
        <w:rPr>
          <w:i/>
          <w:sz w:val="18"/>
          <w:szCs w:val="18"/>
          <w:lang w:val="en-GB"/>
        </w:rPr>
        <w:t xml:space="preserve">3) Patient </w:t>
      </w:r>
      <w:r w:rsidR="00775059">
        <w:rPr>
          <w:i/>
          <w:sz w:val="18"/>
          <w:szCs w:val="18"/>
          <w:lang w:val="en-GB"/>
        </w:rPr>
        <w:t>enrolment</w:t>
      </w:r>
      <w:r w:rsidRPr="0029175B">
        <w:rPr>
          <w:sz w:val="18"/>
          <w:szCs w:val="18"/>
          <w:lang w:val="en-GB"/>
        </w:rPr>
        <w:t xml:space="preserve">: patient </w:t>
      </w:r>
      <w:r w:rsidR="006C0488">
        <w:rPr>
          <w:sz w:val="18"/>
          <w:szCs w:val="18"/>
          <w:lang w:val="en-GB"/>
        </w:rPr>
        <w:t>enrolment</w:t>
      </w:r>
      <w:r w:rsidR="006C0488" w:rsidRPr="0029175B">
        <w:rPr>
          <w:sz w:val="18"/>
          <w:szCs w:val="18"/>
          <w:lang w:val="en-GB"/>
        </w:rPr>
        <w:t xml:space="preserve"> </w:t>
      </w:r>
      <w:r w:rsidRPr="0029175B">
        <w:rPr>
          <w:sz w:val="18"/>
          <w:szCs w:val="18"/>
          <w:lang w:val="en-GB"/>
        </w:rPr>
        <w:t>in the registry should be exhaustive within the boundaries defined by the purpose of the registry (for example, all patients diagn</w:t>
      </w:r>
      <w:r w:rsidR="0037401D" w:rsidRPr="0029175B">
        <w:rPr>
          <w:sz w:val="18"/>
          <w:szCs w:val="18"/>
          <w:lang w:val="en-GB"/>
        </w:rPr>
        <w:t>osed with a disease in a region</w:t>
      </w:r>
      <w:r w:rsidR="000F2CDE">
        <w:rPr>
          <w:sz w:val="18"/>
          <w:szCs w:val="18"/>
          <w:lang w:val="en-GB"/>
        </w:rPr>
        <w:t>)</w:t>
      </w:r>
      <w:r w:rsidRPr="0029175B">
        <w:rPr>
          <w:sz w:val="18"/>
          <w:szCs w:val="18"/>
          <w:lang w:val="en-GB"/>
        </w:rPr>
        <w:t>, while the study population should be defined in line with the research objective</w:t>
      </w:r>
      <w:r w:rsidR="004A612C" w:rsidRPr="0029175B">
        <w:rPr>
          <w:sz w:val="18"/>
          <w:szCs w:val="18"/>
          <w:lang w:val="en-GB"/>
        </w:rPr>
        <w:t xml:space="preserve"> and</w:t>
      </w:r>
      <w:r w:rsidR="00786544" w:rsidRPr="0029175B">
        <w:rPr>
          <w:sz w:val="18"/>
          <w:szCs w:val="18"/>
          <w:lang w:val="en-GB"/>
        </w:rPr>
        <w:t xml:space="preserve"> </w:t>
      </w:r>
      <w:r w:rsidR="00261E60">
        <w:rPr>
          <w:sz w:val="18"/>
          <w:szCs w:val="18"/>
          <w:lang w:val="en-GB"/>
        </w:rPr>
        <w:t>may be</w:t>
      </w:r>
      <w:r w:rsidR="00261E60" w:rsidRPr="0029175B">
        <w:rPr>
          <w:sz w:val="18"/>
          <w:szCs w:val="18"/>
          <w:lang w:val="en-GB"/>
        </w:rPr>
        <w:t xml:space="preserve"> </w:t>
      </w:r>
      <w:r w:rsidR="0084512E" w:rsidRPr="0029175B">
        <w:rPr>
          <w:sz w:val="18"/>
          <w:szCs w:val="18"/>
          <w:lang w:val="en-GB"/>
        </w:rPr>
        <w:t>a</w:t>
      </w:r>
      <w:r w:rsidR="00786544" w:rsidRPr="0029175B">
        <w:rPr>
          <w:sz w:val="18"/>
          <w:szCs w:val="18"/>
          <w:lang w:val="en-GB"/>
        </w:rPr>
        <w:t xml:space="preserve"> </w:t>
      </w:r>
      <w:r w:rsidRPr="0029175B">
        <w:rPr>
          <w:sz w:val="18"/>
          <w:szCs w:val="18"/>
          <w:lang w:val="en-GB"/>
        </w:rPr>
        <w:t>subset of the registry population.</w:t>
      </w:r>
    </w:p>
    <w:p w:rsidR="00AD4CBC" w:rsidRPr="0029175B" w:rsidRDefault="00D64049" w:rsidP="00AD4CBC">
      <w:pPr>
        <w:pStyle w:val="Default"/>
        <w:spacing w:after="140" w:line="280" w:lineRule="exact"/>
        <w:rPr>
          <w:sz w:val="18"/>
          <w:szCs w:val="18"/>
          <w:lang w:val="en-GB"/>
        </w:rPr>
      </w:pPr>
      <w:r w:rsidRPr="004C685B">
        <w:rPr>
          <w:i/>
          <w:sz w:val="18"/>
          <w:szCs w:val="18"/>
          <w:lang w:val="en-GB"/>
        </w:rPr>
        <w:t>4) Data collection</w:t>
      </w:r>
      <w:r w:rsidRPr="0029175B">
        <w:rPr>
          <w:sz w:val="18"/>
          <w:szCs w:val="18"/>
          <w:lang w:val="en-GB"/>
        </w:rPr>
        <w:t>: depending on the purpose of the registry, different types of data can be collected, such as data on demographic characteristics, treatments, disease</w:t>
      </w:r>
      <w:r w:rsidR="00187F52">
        <w:rPr>
          <w:sz w:val="18"/>
          <w:szCs w:val="18"/>
          <w:lang w:val="en-GB"/>
        </w:rPr>
        <w:t>s,</w:t>
      </w:r>
      <w:r w:rsidRPr="0029175B">
        <w:rPr>
          <w:sz w:val="18"/>
          <w:szCs w:val="18"/>
          <w:lang w:val="en-GB"/>
        </w:rPr>
        <w:t xml:space="preserve"> patient-related outcomes or comorbidities. In a study, data collection or extraction is restricted to </w:t>
      </w:r>
      <w:r w:rsidR="00822DC5" w:rsidRPr="0029175B">
        <w:rPr>
          <w:sz w:val="18"/>
          <w:szCs w:val="18"/>
          <w:lang w:val="en-GB"/>
        </w:rPr>
        <w:t>the data</w:t>
      </w:r>
      <w:r w:rsidRPr="0029175B">
        <w:rPr>
          <w:sz w:val="18"/>
          <w:szCs w:val="18"/>
          <w:lang w:val="en-GB"/>
        </w:rPr>
        <w:t xml:space="preserve"> necessary to investigate the research question, including data on potential confounders and effect modifiers. A specific study may also require additional data collection</w:t>
      </w:r>
      <w:r w:rsidR="00206BDC" w:rsidRPr="0029175B">
        <w:rPr>
          <w:sz w:val="18"/>
          <w:szCs w:val="18"/>
          <w:lang w:val="en-GB"/>
        </w:rPr>
        <w:t xml:space="preserve"> from other sources</w:t>
      </w:r>
      <w:r w:rsidRPr="0029175B">
        <w:rPr>
          <w:sz w:val="18"/>
          <w:szCs w:val="18"/>
          <w:lang w:val="en-GB"/>
        </w:rPr>
        <w:t xml:space="preserve"> if these data are not routinely collected in the registry.</w:t>
      </w:r>
    </w:p>
    <w:p w:rsidR="00CE01F5" w:rsidRDefault="00D64049" w:rsidP="00CE01F5">
      <w:pPr>
        <w:pStyle w:val="Default"/>
        <w:spacing w:after="140" w:line="280" w:lineRule="exact"/>
        <w:rPr>
          <w:sz w:val="18"/>
          <w:szCs w:val="18"/>
          <w:lang w:val="en-GB"/>
        </w:rPr>
      </w:pPr>
      <w:r>
        <w:rPr>
          <w:i/>
          <w:iCs/>
          <w:sz w:val="18"/>
          <w:szCs w:val="18"/>
        </w:rPr>
        <w:t>5)</w:t>
      </w:r>
      <w:r>
        <w:rPr>
          <w:sz w:val="18"/>
          <w:szCs w:val="18"/>
        </w:rPr>
        <w:t xml:space="preserve"> </w:t>
      </w:r>
      <w:r>
        <w:rPr>
          <w:i/>
          <w:iCs/>
          <w:sz w:val="18"/>
          <w:szCs w:val="18"/>
        </w:rPr>
        <w:t>Analysis plan</w:t>
      </w:r>
      <w:r>
        <w:rPr>
          <w:sz w:val="18"/>
          <w:szCs w:val="18"/>
        </w:rPr>
        <w:t>: data analysis in a registry is generally performed at intervals based on patient accrual or</w:t>
      </w:r>
      <w:r w:rsidR="006A4244">
        <w:rPr>
          <w:sz w:val="18"/>
          <w:szCs w:val="18"/>
        </w:rPr>
        <w:t xml:space="preserve"> </w:t>
      </w:r>
      <w:r>
        <w:rPr>
          <w:sz w:val="18"/>
          <w:szCs w:val="18"/>
        </w:rPr>
        <w:t>time</w:t>
      </w:r>
      <w:r w:rsidR="006A4244">
        <w:rPr>
          <w:sz w:val="18"/>
          <w:szCs w:val="18"/>
        </w:rPr>
        <w:t xml:space="preserve"> schedule</w:t>
      </w:r>
      <w:r>
        <w:rPr>
          <w:sz w:val="18"/>
          <w:szCs w:val="18"/>
        </w:rPr>
        <w:t xml:space="preserve"> and </w:t>
      </w:r>
      <w:r w:rsidR="006A4244">
        <w:rPr>
          <w:sz w:val="18"/>
          <w:szCs w:val="18"/>
        </w:rPr>
        <w:t xml:space="preserve">it </w:t>
      </w:r>
      <w:r>
        <w:rPr>
          <w:sz w:val="18"/>
          <w:szCs w:val="18"/>
        </w:rPr>
        <w:t>follow</w:t>
      </w:r>
      <w:r w:rsidR="006A4244">
        <w:rPr>
          <w:sz w:val="18"/>
          <w:szCs w:val="18"/>
        </w:rPr>
        <w:t>s</w:t>
      </w:r>
      <w:r>
        <w:rPr>
          <w:sz w:val="18"/>
          <w:szCs w:val="18"/>
        </w:rPr>
        <w:t xml:space="preserve"> a routine analytical plan with additional ad-hoc analyses performed by the registry coordinator or registry participants. In a study, </w:t>
      </w:r>
      <w:r>
        <w:rPr>
          <w:sz w:val="18"/>
          <w:szCs w:val="18"/>
          <w:lang w:val="en-GB"/>
        </w:rPr>
        <w:t>key elements of the planned statistical analysis should be described in the protocol, supplemented as required with a separate Statistical Analysis Plan</w:t>
      </w:r>
      <w:r w:rsidR="00261E60">
        <w:rPr>
          <w:sz w:val="18"/>
          <w:szCs w:val="18"/>
          <w:lang w:val="en-GB"/>
        </w:rPr>
        <w:t xml:space="preserve"> (SAP)</w:t>
      </w:r>
      <w:r>
        <w:rPr>
          <w:sz w:val="18"/>
          <w:szCs w:val="18"/>
          <w:lang w:val="en-GB"/>
        </w:rPr>
        <w:t>. As with the protocol, deviations to the SAP following the start of the study should be accompanied by a formal amendment process.</w:t>
      </w:r>
      <w:r w:rsidR="006A4244">
        <w:rPr>
          <w:sz w:val="18"/>
          <w:szCs w:val="18"/>
          <w:lang w:val="en-GB"/>
        </w:rPr>
        <w:t xml:space="preserve"> Registries and registry studies may face different methodological and analytical issues.</w:t>
      </w:r>
    </w:p>
    <w:p w:rsidR="00B96F70" w:rsidRDefault="00D64049" w:rsidP="00FF179C">
      <w:pPr>
        <w:pStyle w:val="Default"/>
        <w:spacing w:after="140" w:line="280" w:lineRule="exact"/>
        <w:rPr>
          <w:sz w:val="18"/>
          <w:szCs w:val="18"/>
          <w:lang w:val="en-GB"/>
        </w:rPr>
      </w:pPr>
      <w:r w:rsidRPr="004C685B">
        <w:rPr>
          <w:i/>
          <w:sz w:val="18"/>
          <w:szCs w:val="18"/>
          <w:lang w:val="en-GB"/>
        </w:rPr>
        <w:lastRenderedPageBreak/>
        <w:t>6) Collection and reporting of suspected adverse reactions:</w:t>
      </w:r>
      <w:r w:rsidRPr="0029175B">
        <w:rPr>
          <w:sz w:val="18"/>
          <w:szCs w:val="18"/>
          <w:lang w:val="en-GB"/>
        </w:rPr>
        <w:t xml:space="preserve"> </w:t>
      </w:r>
      <w:r w:rsidR="00187F52">
        <w:rPr>
          <w:sz w:val="18"/>
          <w:szCs w:val="18"/>
          <w:lang w:val="en-GB"/>
        </w:rPr>
        <w:t>d</w:t>
      </w:r>
      <w:r w:rsidR="00FF179C" w:rsidRPr="00FF179C">
        <w:rPr>
          <w:sz w:val="18"/>
          <w:szCs w:val="18"/>
          <w:lang w:val="en-GB"/>
        </w:rPr>
        <w:t xml:space="preserve">isease registries conducted by organisations such as academia or medical research </w:t>
      </w:r>
      <w:r w:rsidR="004F50AF">
        <w:rPr>
          <w:sz w:val="18"/>
          <w:szCs w:val="18"/>
          <w:lang w:val="en-GB"/>
        </w:rPr>
        <w:t>associations</w:t>
      </w:r>
      <w:r w:rsidR="00FF179C" w:rsidRPr="00FF179C">
        <w:rPr>
          <w:sz w:val="18"/>
          <w:szCs w:val="18"/>
          <w:lang w:val="en-GB"/>
        </w:rPr>
        <w:t xml:space="preserve"> should follow the national requirements as regards the management of safety data. </w:t>
      </w:r>
      <w:r w:rsidR="00510391">
        <w:rPr>
          <w:sz w:val="18"/>
          <w:szCs w:val="18"/>
          <w:lang w:val="en-GB"/>
        </w:rPr>
        <w:t>A</w:t>
      </w:r>
      <w:r w:rsidR="00FF179C" w:rsidRPr="00FF179C">
        <w:rPr>
          <w:sz w:val="18"/>
          <w:szCs w:val="18"/>
          <w:lang w:val="en-GB"/>
        </w:rPr>
        <w:t xml:space="preserve">ny active data collection system put in place in a disease registry and initiated, managed or funded by a MAH to collect and record suspected adverse reactions to one of its medicinal products </w:t>
      </w:r>
      <w:r w:rsidR="003D03B0">
        <w:rPr>
          <w:sz w:val="18"/>
          <w:szCs w:val="18"/>
          <w:lang w:val="en-GB"/>
        </w:rPr>
        <w:t>should</w:t>
      </w:r>
      <w:r w:rsidR="00FF179C" w:rsidRPr="00FF179C">
        <w:rPr>
          <w:sz w:val="18"/>
          <w:szCs w:val="18"/>
          <w:lang w:val="en-GB"/>
        </w:rPr>
        <w:t xml:space="preserve"> follow the regulatory framework for PASS</w:t>
      </w:r>
      <w:r w:rsidR="003D03B0">
        <w:rPr>
          <w:sz w:val="18"/>
          <w:szCs w:val="18"/>
          <w:lang w:val="en-GB"/>
        </w:rPr>
        <w:t xml:space="preserve"> (</w:t>
      </w:r>
      <w:r w:rsidR="003D03B0" w:rsidRPr="003D03B0">
        <w:rPr>
          <w:sz w:val="18"/>
          <w:szCs w:val="18"/>
          <w:lang w:val="en-GB"/>
        </w:rPr>
        <w:t xml:space="preserve">20) </w:t>
      </w:r>
      <w:r w:rsidR="003D03B0">
        <w:rPr>
          <w:sz w:val="18"/>
          <w:szCs w:val="18"/>
          <w:lang w:val="en-GB"/>
        </w:rPr>
        <w:t>(see chapter 6.8)</w:t>
      </w:r>
      <w:r w:rsidR="00FF179C">
        <w:rPr>
          <w:sz w:val="18"/>
          <w:szCs w:val="18"/>
          <w:lang w:val="en-GB"/>
        </w:rPr>
        <w:t xml:space="preserve">. </w:t>
      </w:r>
      <w:r w:rsidR="005B6F8B" w:rsidRPr="005B6F8B">
        <w:rPr>
          <w:sz w:val="18"/>
          <w:szCs w:val="18"/>
          <w:lang w:val="en-GB"/>
        </w:rPr>
        <w:t xml:space="preserve">In registries without active safety data collection, </w:t>
      </w:r>
      <w:r w:rsidR="008C4A5B">
        <w:rPr>
          <w:sz w:val="18"/>
          <w:szCs w:val="18"/>
          <w:lang w:val="en-GB"/>
        </w:rPr>
        <w:t>health care professionals (</w:t>
      </w:r>
      <w:r w:rsidR="005B6F8B" w:rsidRPr="005B6F8B">
        <w:rPr>
          <w:sz w:val="18"/>
          <w:szCs w:val="18"/>
          <w:lang w:val="en-GB"/>
        </w:rPr>
        <w:t>HCPs</w:t>
      </w:r>
      <w:r w:rsidR="008C4A5B">
        <w:rPr>
          <w:sz w:val="18"/>
          <w:szCs w:val="18"/>
          <w:lang w:val="en-GB"/>
        </w:rPr>
        <w:t>)</w:t>
      </w:r>
      <w:r w:rsidR="005B6F8B" w:rsidRPr="005B6F8B">
        <w:rPr>
          <w:sz w:val="18"/>
          <w:szCs w:val="18"/>
          <w:lang w:val="en-GB"/>
        </w:rPr>
        <w:t xml:space="preserve"> and patients should be reminded of the possibility to report </w:t>
      </w:r>
      <w:r w:rsidR="005B6F8B">
        <w:rPr>
          <w:sz w:val="18"/>
          <w:szCs w:val="18"/>
          <w:lang w:val="en-GB"/>
        </w:rPr>
        <w:t xml:space="preserve">suspected </w:t>
      </w:r>
      <w:r w:rsidR="005B6F8B" w:rsidRPr="005B6F8B">
        <w:rPr>
          <w:sz w:val="18"/>
          <w:szCs w:val="18"/>
          <w:lang w:val="en-GB"/>
        </w:rPr>
        <w:t>adverse react</w:t>
      </w:r>
      <w:r w:rsidR="00C644EA">
        <w:rPr>
          <w:sz w:val="18"/>
          <w:szCs w:val="18"/>
          <w:lang w:val="en-GB"/>
        </w:rPr>
        <w:t xml:space="preserve">ions </w:t>
      </w:r>
      <w:r w:rsidR="005B6F8B" w:rsidRPr="005B6F8B">
        <w:rPr>
          <w:sz w:val="18"/>
          <w:szCs w:val="18"/>
          <w:lang w:val="en-GB"/>
        </w:rPr>
        <w:t>to the MAH of the suspected medicinal product or to the concerned competent authority via the national spontaneous reporting system</w:t>
      </w:r>
      <w:r w:rsidR="005B6F8B">
        <w:rPr>
          <w:sz w:val="18"/>
          <w:szCs w:val="18"/>
          <w:lang w:val="en-GB"/>
        </w:rPr>
        <w:t>. A</w:t>
      </w:r>
      <w:r w:rsidR="00FF179C" w:rsidRPr="00FF179C">
        <w:rPr>
          <w:sz w:val="18"/>
          <w:szCs w:val="18"/>
          <w:lang w:val="en-GB"/>
        </w:rPr>
        <w:t xml:space="preserve">ny noxious or unintended response to a medicinal product notified to the MAH should be managed by the MAH as </w:t>
      </w:r>
      <w:r w:rsidR="008F3B52">
        <w:rPr>
          <w:sz w:val="18"/>
          <w:szCs w:val="18"/>
          <w:lang w:val="en-GB"/>
        </w:rPr>
        <w:t xml:space="preserve">a </w:t>
      </w:r>
      <w:r w:rsidR="00FF179C" w:rsidRPr="00FF179C">
        <w:rPr>
          <w:sz w:val="18"/>
          <w:szCs w:val="18"/>
          <w:lang w:val="en-GB"/>
        </w:rPr>
        <w:t xml:space="preserve">spontaneous report of </w:t>
      </w:r>
      <w:r w:rsidR="008F3B52">
        <w:rPr>
          <w:sz w:val="18"/>
          <w:szCs w:val="18"/>
          <w:lang w:val="en-GB"/>
        </w:rPr>
        <w:t xml:space="preserve">a </w:t>
      </w:r>
      <w:r w:rsidR="00FF179C" w:rsidRPr="00FF179C">
        <w:rPr>
          <w:sz w:val="18"/>
          <w:szCs w:val="18"/>
          <w:lang w:val="en-GB"/>
        </w:rPr>
        <w:t>suspected ad</w:t>
      </w:r>
      <w:r w:rsidR="00FF179C" w:rsidRPr="006172DA">
        <w:rPr>
          <w:sz w:val="18"/>
          <w:szCs w:val="18"/>
          <w:lang w:val="en-GB"/>
        </w:rPr>
        <w:t>verse reaction</w:t>
      </w:r>
      <w:r w:rsidR="005E2E45" w:rsidRPr="006172DA">
        <w:rPr>
          <w:sz w:val="18"/>
          <w:szCs w:val="18"/>
          <w:lang w:val="en-GB"/>
        </w:rPr>
        <w:t xml:space="preserve"> </w:t>
      </w:r>
      <w:r w:rsidR="005E2E45" w:rsidRPr="006172DA">
        <w:rPr>
          <w:sz w:val="18"/>
          <w:szCs w:val="18"/>
          <w:lang w:val="en-GB"/>
        </w:rPr>
        <w:fldChar w:fldCharType="begin"/>
      </w:r>
      <w:r w:rsidR="005E2E45" w:rsidRPr="006172DA">
        <w:rPr>
          <w:sz w:val="18"/>
          <w:szCs w:val="18"/>
          <w:lang w:val="en-GB"/>
        </w:rPr>
        <w:instrText xml:space="preserve"> ADDIN ZOTERO_ITEM CSL_CITATION {"citationID":"afmogbsp1o","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5E2E45" w:rsidRPr="006172DA">
        <w:rPr>
          <w:sz w:val="18"/>
          <w:szCs w:val="18"/>
          <w:lang w:val="en-GB"/>
        </w:rPr>
        <w:fldChar w:fldCharType="separate"/>
      </w:r>
      <w:r w:rsidR="005E2E45" w:rsidRPr="006172DA">
        <w:rPr>
          <w:sz w:val="18"/>
        </w:rPr>
        <w:t>(21)</w:t>
      </w:r>
      <w:r w:rsidR="005E2E45" w:rsidRPr="006172DA">
        <w:rPr>
          <w:sz w:val="18"/>
          <w:szCs w:val="18"/>
          <w:lang w:val="en-GB"/>
        </w:rPr>
        <w:fldChar w:fldCharType="end"/>
      </w:r>
      <w:r w:rsidR="00D456C6">
        <w:rPr>
          <w:sz w:val="18"/>
          <w:szCs w:val="18"/>
          <w:lang w:val="en-GB"/>
        </w:rPr>
        <w:t xml:space="preserve"> </w:t>
      </w:r>
      <w:r w:rsidR="008D7F6F">
        <w:rPr>
          <w:sz w:val="18"/>
          <w:szCs w:val="18"/>
          <w:lang w:val="en-GB"/>
        </w:rPr>
        <w:t>(see chapter 5.7).</w:t>
      </w:r>
    </w:p>
    <w:p w:rsidR="00B96F70" w:rsidRDefault="00D64049" w:rsidP="00AD4CBC">
      <w:pPr>
        <w:pStyle w:val="Default"/>
        <w:spacing w:after="140" w:line="280" w:lineRule="exact"/>
        <w:rPr>
          <w:sz w:val="18"/>
          <w:szCs w:val="18"/>
          <w:lang w:val="en-GB"/>
        </w:rPr>
      </w:pPr>
      <w:r>
        <w:rPr>
          <w:sz w:val="18"/>
          <w:szCs w:val="18"/>
          <w:lang w:val="en-GB"/>
        </w:rPr>
        <w:t>For</w:t>
      </w:r>
      <w:r w:rsidR="00B63783" w:rsidRPr="0029175B">
        <w:rPr>
          <w:sz w:val="18"/>
          <w:szCs w:val="18"/>
          <w:lang w:val="en-GB"/>
        </w:rPr>
        <w:t xml:space="preserve"> </w:t>
      </w:r>
      <w:r w:rsidR="0060246B">
        <w:rPr>
          <w:sz w:val="18"/>
          <w:szCs w:val="18"/>
          <w:lang w:val="en-GB"/>
        </w:rPr>
        <w:t xml:space="preserve">registry </w:t>
      </w:r>
      <w:r w:rsidRPr="0029175B">
        <w:rPr>
          <w:sz w:val="18"/>
          <w:szCs w:val="18"/>
          <w:lang w:val="en-GB"/>
        </w:rPr>
        <w:t>stud</w:t>
      </w:r>
      <w:r w:rsidR="0060246B">
        <w:rPr>
          <w:sz w:val="18"/>
          <w:szCs w:val="18"/>
          <w:lang w:val="en-GB"/>
        </w:rPr>
        <w:t>ies</w:t>
      </w:r>
      <w:r w:rsidR="00B63783" w:rsidRPr="0029175B">
        <w:rPr>
          <w:sz w:val="18"/>
          <w:szCs w:val="18"/>
          <w:lang w:val="en-GB"/>
        </w:rPr>
        <w:t xml:space="preserve">, </w:t>
      </w:r>
      <w:r>
        <w:rPr>
          <w:sz w:val="18"/>
          <w:szCs w:val="18"/>
          <w:lang w:val="en-GB"/>
        </w:rPr>
        <w:t xml:space="preserve">requirements to MAH for suspected </w:t>
      </w:r>
      <w:r w:rsidR="00DE5FF3">
        <w:rPr>
          <w:sz w:val="18"/>
          <w:szCs w:val="18"/>
          <w:lang w:val="en-GB"/>
        </w:rPr>
        <w:t>adverse reactions</w:t>
      </w:r>
      <w:r>
        <w:rPr>
          <w:sz w:val="18"/>
          <w:szCs w:val="18"/>
          <w:lang w:val="en-GB"/>
        </w:rPr>
        <w:t xml:space="preserve"> </w:t>
      </w:r>
      <w:r w:rsidR="00194B01">
        <w:rPr>
          <w:sz w:val="18"/>
          <w:szCs w:val="18"/>
          <w:lang w:val="en-GB"/>
        </w:rPr>
        <w:t>differ</w:t>
      </w:r>
      <w:r>
        <w:rPr>
          <w:sz w:val="18"/>
          <w:szCs w:val="18"/>
          <w:lang w:val="en-GB"/>
        </w:rPr>
        <w:t xml:space="preserve"> between studies with a design based on primary or secondary data collection. </w:t>
      </w:r>
      <w:r w:rsidR="00357BBC">
        <w:rPr>
          <w:sz w:val="18"/>
          <w:szCs w:val="18"/>
          <w:lang w:val="en-GB"/>
        </w:rPr>
        <w:t xml:space="preserve">Any </w:t>
      </w:r>
      <w:r w:rsidR="00357BBC" w:rsidRPr="00357BBC">
        <w:rPr>
          <w:sz w:val="18"/>
          <w:szCs w:val="18"/>
          <w:lang w:val="en-GB"/>
        </w:rPr>
        <w:t>system for collecting, reporting and analysing adverse events put in place should be described in the study protoco</w:t>
      </w:r>
      <w:r w:rsidR="00357BBC" w:rsidRPr="004B33A3">
        <w:rPr>
          <w:sz w:val="18"/>
          <w:szCs w:val="18"/>
          <w:lang w:val="en-GB"/>
        </w:rPr>
        <w:t>l</w:t>
      </w:r>
      <w:r w:rsidR="00666AB7" w:rsidRPr="004B33A3">
        <w:rPr>
          <w:sz w:val="18"/>
          <w:szCs w:val="18"/>
          <w:lang w:val="en-GB"/>
        </w:rPr>
        <w:t xml:space="preserve"> </w:t>
      </w:r>
      <w:r w:rsidR="00666AB7" w:rsidRPr="004B33A3">
        <w:rPr>
          <w:sz w:val="18"/>
          <w:szCs w:val="18"/>
          <w:lang w:val="en-GB"/>
        </w:rPr>
        <w:fldChar w:fldCharType="begin"/>
      </w:r>
      <w:r w:rsidR="005E2E45">
        <w:rPr>
          <w:sz w:val="18"/>
          <w:szCs w:val="18"/>
          <w:lang w:val="en-GB"/>
        </w:rPr>
        <w:instrText xml:space="preserve"> ADDIN ZOTERO_ITEM CSL_CITATION {"citationID":"a22fh2tb9h3","properties":{"formattedCitation":"(20)","plainCitation":"(20)"},"citationItems":[{"id":2271,"uris":["http://zotero.org/users/local/tAKp4fcl/items/2L6EDWCG"],"uri":["http://zotero.org/users/local/tAKp4fcl/items/2L6EDWCG"],"itemData":{"id":2271,"type":"article","title":"Guideline on good pharmacovigilance practices (GVP) Module VIII – Post-authorisation safety studies (Rev 3). EMA/813938/2011 Rev 3*","URL":"http://www.ema.europa.eu/docs/en_GB/document_library/Scientific_guideline/2012/06/WC500129137.pdf","author":[{"literal":"European Medicines Agency (EMA)"}],"issued":{"date-parts":[["2017",10,9]]}}}],"schema":"https://github.com/citation-style-language/schema/raw/master/csl-citation.json"} </w:instrText>
      </w:r>
      <w:r w:rsidR="00666AB7" w:rsidRPr="004B33A3">
        <w:rPr>
          <w:sz w:val="18"/>
          <w:szCs w:val="18"/>
          <w:lang w:val="en-GB"/>
        </w:rPr>
        <w:fldChar w:fldCharType="separate"/>
      </w:r>
      <w:r w:rsidR="005E2E45" w:rsidRPr="005E2E45">
        <w:rPr>
          <w:sz w:val="18"/>
        </w:rPr>
        <w:t>(20)</w:t>
      </w:r>
      <w:r w:rsidR="00666AB7" w:rsidRPr="004B33A3">
        <w:rPr>
          <w:sz w:val="18"/>
          <w:szCs w:val="18"/>
          <w:lang w:val="en-GB"/>
        </w:rPr>
        <w:fldChar w:fldCharType="end"/>
      </w:r>
      <w:r w:rsidR="008D7F6F">
        <w:rPr>
          <w:sz w:val="18"/>
          <w:szCs w:val="18"/>
          <w:lang w:val="en-GB"/>
        </w:rPr>
        <w:t xml:space="preserve"> (see chapter </w:t>
      </w:r>
      <w:r w:rsidR="00C644EA">
        <w:rPr>
          <w:sz w:val="18"/>
          <w:szCs w:val="18"/>
          <w:lang w:val="en-GB"/>
        </w:rPr>
        <w:t>6</w:t>
      </w:r>
      <w:r w:rsidR="008D7F6F">
        <w:rPr>
          <w:sz w:val="18"/>
          <w:szCs w:val="18"/>
          <w:lang w:val="en-GB"/>
        </w:rPr>
        <w:t>.8)</w:t>
      </w:r>
      <w:r w:rsidR="00357BBC" w:rsidRPr="00357BBC">
        <w:rPr>
          <w:sz w:val="18"/>
          <w:szCs w:val="18"/>
          <w:lang w:val="en-GB"/>
        </w:rPr>
        <w:t>.</w:t>
      </w:r>
      <w:r w:rsidR="00357BBC">
        <w:rPr>
          <w:sz w:val="18"/>
          <w:szCs w:val="18"/>
          <w:lang w:val="en-GB"/>
        </w:rPr>
        <w:t xml:space="preserve"> </w:t>
      </w:r>
    </w:p>
    <w:p w:rsidR="00AD4CBC" w:rsidRPr="0029175B" w:rsidRDefault="00D64049" w:rsidP="00AD4CBC">
      <w:pPr>
        <w:pStyle w:val="Default"/>
        <w:spacing w:after="140" w:line="280" w:lineRule="exact"/>
        <w:rPr>
          <w:rStyle w:val="Fett"/>
          <w:b w:val="0"/>
          <w:sz w:val="18"/>
          <w:szCs w:val="18"/>
          <w:lang w:val="en-GB"/>
        </w:rPr>
      </w:pPr>
      <w:r w:rsidRPr="004C685B">
        <w:rPr>
          <w:rStyle w:val="Fett"/>
          <w:b w:val="0"/>
          <w:i/>
          <w:sz w:val="18"/>
          <w:szCs w:val="18"/>
          <w:lang w:val="en-GB"/>
        </w:rPr>
        <w:t>7) Data quality control</w:t>
      </w:r>
      <w:r w:rsidRPr="0029175B">
        <w:rPr>
          <w:rStyle w:val="Fett"/>
          <w:b w:val="0"/>
          <w:sz w:val="18"/>
          <w:szCs w:val="18"/>
          <w:lang w:val="en-GB"/>
        </w:rPr>
        <w:t>: measures for data quality control should be routinely in place in a registry and these measures therefore also apply to the data and procedures used in a study. Additional measures may be needed for a specific study, for example to verify the completeness of the information on some data elements.</w:t>
      </w:r>
    </w:p>
    <w:p w:rsidR="00AD4CBC" w:rsidRPr="0029175B" w:rsidRDefault="00D64049" w:rsidP="00AD4CBC">
      <w:pPr>
        <w:pStyle w:val="Default"/>
        <w:spacing w:after="140" w:line="280" w:lineRule="exact"/>
        <w:rPr>
          <w:rStyle w:val="Fett"/>
          <w:b w:val="0"/>
          <w:sz w:val="18"/>
          <w:szCs w:val="18"/>
          <w:lang w:val="en-GB"/>
        </w:rPr>
      </w:pPr>
      <w:r w:rsidRPr="004C685B">
        <w:rPr>
          <w:rStyle w:val="Fett"/>
          <w:b w:val="0"/>
          <w:i/>
          <w:sz w:val="18"/>
          <w:szCs w:val="18"/>
          <w:lang w:val="en-GB"/>
        </w:rPr>
        <w:t>8) Regulatory status</w:t>
      </w:r>
      <w:r w:rsidRPr="0029175B">
        <w:rPr>
          <w:rStyle w:val="Fett"/>
          <w:b w:val="0"/>
          <w:sz w:val="18"/>
          <w:szCs w:val="18"/>
          <w:lang w:val="en-GB"/>
        </w:rPr>
        <w:t xml:space="preserve">: by nature, a registry is observational, i.e. non-interventional; on the other hand, a registry study may be non-interventional (if data collection is restricted to secondary use of </w:t>
      </w:r>
      <w:r w:rsidR="00775059">
        <w:rPr>
          <w:rStyle w:val="Fett"/>
          <w:b w:val="0"/>
          <w:sz w:val="18"/>
          <w:szCs w:val="18"/>
          <w:lang w:val="en-GB"/>
        </w:rPr>
        <w:t xml:space="preserve">already </w:t>
      </w:r>
      <w:r w:rsidRPr="0029175B">
        <w:rPr>
          <w:rStyle w:val="Fett"/>
          <w:b w:val="0"/>
          <w:sz w:val="18"/>
          <w:szCs w:val="18"/>
          <w:lang w:val="en-GB"/>
        </w:rPr>
        <w:t>existing data</w:t>
      </w:r>
      <w:r w:rsidR="00775059">
        <w:rPr>
          <w:rStyle w:val="Fett"/>
          <w:b w:val="0"/>
          <w:sz w:val="18"/>
          <w:szCs w:val="18"/>
          <w:lang w:val="en-GB"/>
        </w:rPr>
        <w:t>- see chapter 6.5.</w:t>
      </w:r>
      <w:r w:rsidRPr="0029175B">
        <w:rPr>
          <w:rStyle w:val="Fett"/>
          <w:b w:val="0"/>
          <w:sz w:val="18"/>
          <w:szCs w:val="18"/>
          <w:lang w:val="en-GB"/>
        </w:rPr>
        <w:t>) or interventional, for example if additional visits or diagnostic tests are required to validate a diagnostic test in patients identified through the registry, or if additional treatment is given.</w:t>
      </w:r>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Table 1. Important differences between a registry and a registry study.</w:t>
      </w:r>
    </w:p>
    <w:tbl>
      <w:tblPr>
        <w:tblStyle w:val="Tabellenraster"/>
        <w:tblW w:w="0" w:type="auto"/>
        <w:tblLook w:val="04A0" w:firstRow="1" w:lastRow="0" w:firstColumn="1" w:lastColumn="0" w:noHBand="0" w:noVBand="1"/>
      </w:tblPr>
      <w:tblGrid>
        <w:gridCol w:w="2438"/>
        <w:gridCol w:w="3402"/>
        <w:gridCol w:w="3402"/>
      </w:tblGrid>
      <w:tr w:rsidR="009A4467" w:rsidTr="00A35F68">
        <w:tc>
          <w:tcPr>
            <w:tcW w:w="2438" w:type="dxa"/>
          </w:tcPr>
          <w:p w:rsidR="00AD4CBC" w:rsidRPr="0029175B" w:rsidRDefault="00AD4CBC" w:rsidP="00A35F68">
            <w:pPr>
              <w:pStyle w:val="Default"/>
              <w:spacing w:after="140" w:line="280" w:lineRule="exact"/>
              <w:rPr>
                <w:rStyle w:val="Fett"/>
                <w:sz w:val="18"/>
                <w:szCs w:val="18"/>
                <w:lang w:val="en-GB"/>
              </w:rPr>
            </w:pPr>
          </w:p>
        </w:tc>
        <w:tc>
          <w:tcPr>
            <w:tcW w:w="3402" w:type="dxa"/>
          </w:tcPr>
          <w:p w:rsidR="00AD4CBC" w:rsidRPr="0029175B" w:rsidRDefault="00D64049" w:rsidP="00A35F68">
            <w:pPr>
              <w:pStyle w:val="Default"/>
              <w:spacing w:after="140" w:line="280" w:lineRule="exact"/>
              <w:rPr>
                <w:rStyle w:val="Fett"/>
                <w:sz w:val="18"/>
                <w:szCs w:val="18"/>
                <w:lang w:val="en-GB"/>
              </w:rPr>
            </w:pPr>
            <w:r w:rsidRPr="0029175B">
              <w:rPr>
                <w:rStyle w:val="Fett"/>
                <w:sz w:val="18"/>
                <w:szCs w:val="18"/>
                <w:lang w:val="en-GB"/>
              </w:rPr>
              <w:t>Registry</w:t>
            </w:r>
          </w:p>
        </w:tc>
        <w:tc>
          <w:tcPr>
            <w:tcW w:w="3402" w:type="dxa"/>
          </w:tcPr>
          <w:p w:rsidR="00AD4CBC" w:rsidRPr="0029175B" w:rsidRDefault="00D64049" w:rsidP="00BC7423">
            <w:pPr>
              <w:pStyle w:val="Default"/>
              <w:spacing w:after="140" w:line="280" w:lineRule="exact"/>
              <w:rPr>
                <w:rStyle w:val="Fett"/>
                <w:sz w:val="18"/>
                <w:szCs w:val="18"/>
                <w:lang w:val="en-GB"/>
              </w:rPr>
            </w:pPr>
            <w:r w:rsidRPr="0029175B">
              <w:rPr>
                <w:rStyle w:val="Fett"/>
                <w:sz w:val="18"/>
                <w:szCs w:val="18"/>
                <w:lang w:val="en-GB"/>
              </w:rPr>
              <w:t>Registry</w:t>
            </w:r>
            <w:r w:rsidR="00BC7423" w:rsidRPr="0029175B">
              <w:rPr>
                <w:rStyle w:val="Fett"/>
                <w:sz w:val="18"/>
                <w:szCs w:val="18"/>
                <w:lang w:val="en-GB"/>
              </w:rPr>
              <w:t xml:space="preserve"> </w:t>
            </w:r>
            <w:r w:rsidRPr="0029175B">
              <w:rPr>
                <w:rStyle w:val="Fett"/>
                <w:sz w:val="18"/>
                <w:szCs w:val="18"/>
                <w:lang w:val="en-GB"/>
              </w:rPr>
              <w:t>study</w:t>
            </w:r>
          </w:p>
        </w:tc>
      </w:tr>
      <w:tr w:rsidR="009A4467" w:rsidTr="00A35F68">
        <w:tc>
          <w:tcPr>
            <w:tcW w:w="2438" w:type="dxa"/>
          </w:tcPr>
          <w:p w:rsidR="00AD4CBC" w:rsidRPr="0029175B" w:rsidRDefault="00D64049" w:rsidP="00A35F68">
            <w:pPr>
              <w:pStyle w:val="Default"/>
              <w:spacing w:after="140" w:line="280" w:lineRule="exact"/>
              <w:rPr>
                <w:rStyle w:val="Fett"/>
                <w:sz w:val="18"/>
                <w:szCs w:val="18"/>
                <w:lang w:val="en-GB"/>
              </w:rPr>
            </w:pPr>
            <w:r w:rsidRPr="0029175B">
              <w:rPr>
                <w:rStyle w:val="Fett"/>
                <w:sz w:val="18"/>
                <w:szCs w:val="18"/>
                <w:lang w:val="en-GB"/>
              </w:rPr>
              <w:t>Nature</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Data collection system</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Investigation of a research question or hypothesis</w:t>
            </w:r>
          </w:p>
        </w:tc>
      </w:tr>
      <w:tr w:rsidR="009A4467" w:rsidTr="00A35F68">
        <w:tc>
          <w:tcPr>
            <w:tcW w:w="2438" w:type="dxa"/>
          </w:tcPr>
          <w:p w:rsidR="00AD4CBC" w:rsidRPr="0029175B" w:rsidRDefault="00D64049" w:rsidP="00A35F68">
            <w:pPr>
              <w:pStyle w:val="Default"/>
              <w:spacing w:after="140" w:line="280" w:lineRule="exact"/>
              <w:rPr>
                <w:rStyle w:val="Fett"/>
                <w:sz w:val="18"/>
                <w:szCs w:val="18"/>
                <w:lang w:val="en-GB"/>
              </w:rPr>
            </w:pPr>
            <w:r w:rsidRPr="0029175B">
              <w:rPr>
                <w:rStyle w:val="Fett"/>
                <w:sz w:val="18"/>
                <w:szCs w:val="18"/>
                <w:lang w:val="en-GB"/>
              </w:rPr>
              <w:t>Timelines</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Long-term, open-ended</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Defined by the study objective and described in the study protocol</w:t>
            </w:r>
          </w:p>
        </w:tc>
      </w:tr>
      <w:tr w:rsidR="009A4467" w:rsidTr="00A35F68">
        <w:tc>
          <w:tcPr>
            <w:tcW w:w="2438" w:type="dxa"/>
          </w:tcPr>
          <w:p w:rsidR="00AD4CBC" w:rsidRPr="0029175B" w:rsidRDefault="00D64049" w:rsidP="00775059">
            <w:pPr>
              <w:pStyle w:val="Default"/>
              <w:spacing w:after="140" w:line="280" w:lineRule="exact"/>
              <w:rPr>
                <w:rStyle w:val="Fett"/>
                <w:sz w:val="18"/>
                <w:szCs w:val="18"/>
                <w:lang w:val="en-GB"/>
              </w:rPr>
            </w:pPr>
            <w:r w:rsidRPr="0029175B">
              <w:rPr>
                <w:rStyle w:val="Fett"/>
                <w:sz w:val="18"/>
                <w:szCs w:val="18"/>
                <w:lang w:val="en-GB"/>
              </w:rPr>
              <w:t xml:space="preserve">Patient </w:t>
            </w:r>
            <w:r w:rsidR="00775059">
              <w:rPr>
                <w:rStyle w:val="Fett"/>
                <w:sz w:val="18"/>
                <w:szCs w:val="18"/>
                <w:lang w:val="en-GB"/>
              </w:rPr>
              <w:t>enrolmen</w:t>
            </w:r>
            <w:r w:rsidR="00775059" w:rsidRPr="0029175B">
              <w:rPr>
                <w:rStyle w:val="Fett"/>
                <w:sz w:val="18"/>
                <w:szCs w:val="18"/>
                <w:lang w:val="en-GB"/>
              </w:rPr>
              <w:t>t</w:t>
            </w:r>
          </w:p>
        </w:tc>
        <w:tc>
          <w:tcPr>
            <w:tcW w:w="3402" w:type="dxa"/>
          </w:tcPr>
          <w:p w:rsidR="00AD4CBC" w:rsidRPr="0029175B" w:rsidRDefault="00D64049" w:rsidP="004A612C">
            <w:pPr>
              <w:pStyle w:val="Default"/>
              <w:spacing w:after="140" w:line="280" w:lineRule="exact"/>
              <w:rPr>
                <w:rStyle w:val="Fett"/>
                <w:b w:val="0"/>
                <w:sz w:val="18"/>
                <w:szCs w:val="18"/>
                <w:lang w:val="en-GB"/>
              </w:rPr>
            </w:pPr>
            <w:r w:rsidRPr="0029175B">
              <w:rPr>
                <w:rStyle w:val="Fett"/>
                <w:b w:val="0"/>
                <w:sz w:val="18"/>
                <w:szCs w:val="18"/>
                <w:lang w:val="en-GB"/>
              </w:rPr>
              <w:t>Exhaustive within the boundaries of the purpose of the registry (e.g. all patients diagnosed with a disease in a</w:t>
            </w:r>
            <w:r w:rsidR="004A612C" w:rsidRPr="0029175B">
              <w:rPr>
                <w:rStyle w:val="Fett"/>
                <w:b w:val="0"/>
                <w:sz w:val="18"/>
                <w:szCs w:val="18"/>
                <w:lang w:val="en-GB"/>
              </w:rPr>
              <w:t xml:space="preserve"> hospital, </w:t>
            </w:r>
            <w:r w:rsidRPr="0029175B">
              <w:rPr>
                <w:rStyle w:val="Fett"/>
                <w:b w:val="0"/>
                <w:sz w:val="18"/>
                <w:szCs w:val="18"/>
                <w:lang w:val="en-GB"/>
              </w:rPr>
              <w:t>region</w:t>
            </w:r>
            <w:r w:rsidR="004A612C" w:rsidRPr="0029175B">
              <w:rPr>
                <w:rStyle w:val="Fett"/>
                <w:b w:val="0"/>
                <w:sz w:val="18"/>
                <w:szCs w:val="18"/>
                <w:lang w:val="en-GB"/>
              </w:rPr>
              <w:t xml:space="preserve"> or country</w:t>
            </w:r>
            <w:r w:rsidRPr="0029175B">
              <w:rPr>
                <w:rStyle w:val="Fett"/>
                <w:b w:val="0"/>
                <w:sz w:val="18"/>
                <w:szCs w:val="18"/>
                <w:lang w:val="en-GB"/>
              </w:rPr>
              <w:t>)</w:t>
            </w:r>
          </w:p>
        </w:tc>
        <w:tc>
          <w:tcPr>
            <w:tcW w:w="3402" w:type="dxa"/>
          </w:tcPr>
          <w:p w:rsidR="00AD4CBC" w:rsidRPr="0029175B" w:rsidRDefault="00D64049">
            <w:pPr>
              <w:pStyle w:val="Default"/>
              <w:spacing w:after="140" w:line="280" w:lineRule="exact"/>
              <w:rPr>
                <w:rStyle w:val="Fett"/>
                <w:b w:val="0"/>
                <w:sz w:val="18"/>
                <w:szCs w:val="18"/>
                <w:lang w:val="en-GB"/>
              </w:rPr>
            </w:pPr>
            <w:r w:rsidRPr="0029175B">
              <w:rPr>
                <w:rStyle w:val="Fett"/>
                <w:b w:val="0"/>
                <w:sz w:val="18"/>
                <w:szCs w:val="18"/>
                <w:lang w:val="en-GB"/>
              </w:rPr>
              <w:t xml:space="preserve">Defined by research objective and described in the study protocol- </w:t>
            </w:r>
            <w:r w:rsidR="00206BDC" w:rsidRPr="0029175B">
              <w:rPr>
                <w:rStyle w:val="Fett"/>
                <w:b w:val="0"/>
                <w:sz w:val="18"/>
                <w:szCs w:val="18"/>
                <w:lang w:val="en-GB"/>
              </w:rPr>
              <w:t xml:space="preserve">it </w:t>
            </w:r>
            <w:r w:rsidR="00670C29">
              <w:rPr>
                <w:rStyle w:val="Fett"/>
                <w:b w:val="0"/>
                <w:sz w:val="18"/>
                <w:szCs w:val="18"/>
                <w:lang w:val="en-GB"/>
              </w:rPr>
              <w:t>may be</w:t>
            </w:r>
            <w:r w:rsidR="00670C29" w:rsidRPr="0029175B">
              <w:rPr>
                <w:rStyle w:val="Fett"/>
                <w:b w:val="0"/>
                <w:sz w:val="18"/>
                <w:szCs w:val="18"/>
                <w:lang w:val="en-GB"/>
              </w:rPr>
              <w:t xml:space="preserve"> </w:t>
            </w:r>
            <w:r w:rsidRPr="0029175B">
              <w:rPr>
                <w:rStyle w:val="Fett"/>
                <w:b w:val="0"/>
                <w:sz w:val="18"/>
                <w:szCs w:val="18"/>
                <w:lang w:val="en-GB"/>
              </w:rPr>
              <w:t>a subset of the registry population.</w:t>
            </w:r>
          </w:p>
        </w:tc>
      </w:tr>
      <w:tr w:rsidR="009A4467" w:rsidTr="00A35F68">
        <w:tc>
          <w:tcPr>
            <w:tcW w:w="2438" w:type="dxa"/>
          </w:tcPr>
          <w:p w:rsidR="00AD4CBC" w:rsidRPr="0029175B" w:rsidRDefault="00D64049" w:rsidP="00A35F68">
            <w:pPr>
              <w:pStyle w:val="Default"/>
              <w:spacing w:after="140" w:line="280" w:lineRule="exact"/>
              <w:rPr>
                <w:rStyle w:val="Fett"/>
                <w:sz w:val="18"/>
                <w:szCs w:val="18"/>
                <w:lang w:val="en-GB"/>
              </w:rPr>
            </w:pPr>
            <w:r w:rsidRPr="0029175B">
              <w:rPr>
                <w:rStyle w:val="Fett"/>
                <w:sz w:val="18"/>
                <w:szCs w:val="18"/>
                <w:lang w:val="en-GB"/>
              </w:rPr>
              <w:t>Data collection</w:t>
            </w:r>
          </w:p>
        </w:tc>
        <w:tc>
          <w:tcPr>
            <w:tcW w:w="3402" w:type="dxa"/>
          </w:tcPr>
          <w:p w:rsidR="00AD4CBC" w:rsidRPr="0029175B" w:rsidRDefault="00D64049" w:rsidP="009248AD">
            <w:pPr>
              <w:pStyle w:val="Default"/>
              <w:spacing w:after="140" w:line="280" w:lineRule="exact"/>
              <w:rPr>
                <w:rStyle w:val="Fett"/>
                <w:b w:val="0"/>
                <w:sz w:val="18"/>
                <w:szCs w:val="18"/>
                <w:lang w:val="en-GB"/>
              </w:rPr>
            </w:pPr>
            <w:r w:rsidRPr="0029175B">
              <w:rPr>
                <w:rStyle w:val="Fett"/>
                <w:b w:val="0"/>
                <w:sz w:val="18"/>
                <w:szCs w:val="18"/>
                <w:lang w:val="en-GB"/>
              </w:rPr>
              <w:t>Wide range of data may be collected depending on the purpose of the registry</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Restricted to what is needed by the research question including data on potential confounders and effect modifiers – additional data collection may be required.</w:t>
            </w:r>
          </w:p>
        </w:tc>
      </w:tr>
      <w:tr w:rsidR="009A4467" w:rsidTr="00A35F68">
        <w:tc>
          <w:tcPr>
            <w:tcW w:w="2438" w:type="dxa"/>
          </w:tcPr>
          <w:p w:rsidR="00AD4CBC" w:rsidRPr="0029175B" w:rsidRDefault="00D64049" w:rsidP="00A35F68">
            <w:pPr>
              <w:pStyle w:val="Default"/>
              <w:spacing w:after="140" w:line="280" w:lineRule="exact"/>
              <w:rPr>
                <w:rStyle w:val="Fett"/>
                <w:sz w:val="18"/>
                <w:szCs w:val="18"/>
                <w:lang w:val="en-GB"/>
              </w:rPr>
            </w:pPr>
            <w:r w:rsidRPr="0029175B">
              <w:rPr>
                <w:rStyle w:val="Fett"/>
                <w:sz w:val="18"/>
                <w:szCs w:val="18"/>
                <w:lang w:val="en-GB"/>
              </w:rPr>
              <w:t>Analysis plan</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Routine periodical data analysis; additional ad-hoc analyses</w:t>
            </w:r>
          </w:p>
        </w:tc>
        <w:tc>
          <w:tcPr>
            <w:tcW w:w="3402" w:type="dxa"/>
          </w:tcPr>
          <w:p w:rsidR="00AD4CBC" w:rsidRPr="0029175B" w:rsidRDefault="00D64049">
            <w:pPr>
              <w:pStyle w:val="Default"/>
              <w:spacing w:after="140" w:line="280" w:lineRule="exact"/>
              <w:rPr>
                <w:rStyle w:val="Fett"/>
                <w:b w:val="0"/>
                <w:sz w:val="18"/>
                <w:szCs w:val="18"/>
                <w:lang w:val="en-GB"/>
              </w:rPr>
            </w:pPr>
            <w:r w:rsidRPr="0029175B">
              <w:rPr>
                <w:rStyle w:val="Fett"/>
                <w:b w:val="0"/>
                <w:sz w:val="18"/>
                <w:szCs w:val="18"/>
                <w:lang w:val="en-GB"/>
              </w:rPr>
              <w:t xml:space="preserve">Statistical analysis plan </w:t>
            </w:r>
            <w:r w:rsidR="009248AD">
              <w:rPr>
                <w:rStyle w:val="Fett"/>
                <w:b w:val="0"/>
                <w:sz w:val="18"/>
                <w:szCs w:val="18"/>
                <w:lang w:val="en-GB"/>
              </w:rPr>
              <w:t>separate from</w:t>
            </w:r>
            <w:r w:rsidRPr="0029175B">
              <w:rPr>
                <w:rStyle w:val="Fett"/>
                <w:b w:val="0"/>
                <w:sz w:val="18"/>
                <w:szCs w:val="18"/>
                <w:lang w:val="en-GB"/>
              </w:rPr>
              <w:t xml:space="preserve"> the study protocol</w:t>
            </w:r>
            <w:r w:rsidR="00206BDC" w:rsidRPr="0029175B">
              <w:rPr>
                <w:rStyle w:val="Fett"/>
                <w:b w:val="0"/>
                <w:sz w:val="18"/>
                <w:szCs w:val="18"/>
                <w:lang w:val="en-GB"/>
              </w:rPr>
              <w:t xml:space="preserve"> </w:t>
            </w:r>
          </w:p>
        </w:tc>
      </w:tr>
      <w:tr w:rsidR="009A4467" w:rsidTr="00A35F68">
        <w:tc>
          <w:tcPr>
            <w:tcW w:w="2438" w:type="dxa"/>
          </w:tcPr>
          <w:p w:rsidR="00AD4CBC" w:rsidRPr="006C5751" w:rsidRDefault="00D64049">
            <w:pPr>
              <w:pStyle w:val="Default"/>
              <w:spacing w:after="140" w:line="280" w:lineRule="exact"/>
              <w:rPr>
                <w:rStyle w:val="Fett"/>
                <w:sz w:val="18"/>
                <w:szCs w:val="18"/>
                <w:lang w:val="en-GB"/>
              </w:rPr>
            </w:pPr>
            <w:r w:rsidRPr="006C5751">
              <w:rPr>
                <w:rStyle w:val="Fett"/>
                <w:sz w:val="18"/>
                <w:szCs w:val="18"/>
                <w:lang w:val="en-GB"/>
              </w:rPr>
              <w:t xml:space="preserve">Collection and reporting of </w:t>
            </w:r>
            <w:r w:rsidRPr="006C5751">
              <w:rPr>
                <w:rStyle w:val="Fett"/>
                <w:sz w:val="18"/>
                <w:szCs w:val="18"/>
                <w:lang w:val="en-GB"/>
              </w:rPr>
              <w:lastRenderedPageBreak/>
              <w:t xml:space="preserve">suspected adverse reactions </w:t>
            </w:r>
          </w:p>
        </w:tc>
        <w:tc>
          <w:tcPr>
            <w:tcW w:w="3402" w:type="dxa"/>
          </w:tcPr>
          <w:p w:rsidR="00AD4CBC" w:rsidRPr="00E717D1" w:rsidRDefault="00D64049">
            <w:pPr>
              <w:pStyle w:val="Default"/>
              <w:spacing w:after="140" w:line="280" w:lineRule="exact"/>
              <w:rPr>
                <w:rStyle w:val="Fett"/>
                <w:b w:val="0"/>
                <w:sz w:val="18"/>
                <w:szCs w:val="18"/>
                <w:lang w:val="en-GB"/>
              </w:rPr>
            </w:pPr>
            <w:r>
              <w:rPr>
                <w:rStyle w:val="Fett"/>
                <w:b w:val="0"/>
                <w:sz w:val="18"/>
                <w:szCs w:val="18"/>
                <w:lang w:val="en-GB"/>
              </w:rPr>
              <w:lastRenderedPageBreak/>
              <w:t>N</w:t>
            </w:r>
            <w:r w:rsidRPr="00B43887">
              <w:rPr>
                <w:rStyle w:val="Fett"/>
                <w:b w:val="0"/>
                <w:sz w:val="18"/>
                <w:szCs w:val="18"/>
                <w:lang w:val="en-GB"/>
              </w:rPr>
              <w:t>ational requirements as regards the management of safety data</w:t>
            </w:r>
            <w:r>
              <w:rPr>
                <w:rStyle w:val="Fett"/>
                <w:b w:val="0"/>
                <w:sz w:val="18"/>
                <w:szCs w:val="18"/>
                <w:lang w:val="en-GB"/>
              </w:rPr>
              <w:t xml:space="preserve"> </w:t>
            </w:r>
            <w:r>
              <w:rPr>
                <w:rStyle w:val="Fett"/>
                <w:b w:val="0"/>
                <w:sz w:val="18"/>
                <w:szCs w:val="18"/>
                <w:lang w:val="en-GB"/>
              </w:rPr>
              <w:lastRenderedPageBreak/>
              <w:t>apply</w:t>
            </w:r>
            <w:r w:rsidRPr="00B43887">
              <w:rPr>
                <w:rStyle w:val="Fett"/>
                <w:b w:val="0"/>
                <w:sz w:val="18"/>
                <w:szCs w:val="18"/>
                <w:lang w:val="en-GB"/>
              </w:rPr>
              <w:t xml:space="preserve">. </w:t>
            </w:r>
            <w:r>
              <w:rPr>
                <w:rStyle w:val="Fett"/>
                <w:b w:val="0"/>
                <w:sz w:val="18"/>
                <w:szCs w:val="18"/>
                <w:lang w:val="en-GB"/>
              </w:rPr>
              <w:t>A</w:t>
            </w:r>
            <w:r w:rsidRPr="00B43887">
              <w:rPr>
                <w:rStyle w:val="Fett"/>
                <w:b w:val="0"/>
                <w:sz w:val="18"/>
                <w:szCs w:val="18"/>
                <w:lang w:val="en-GB"/>
              </w:rPr>
              <w:t xml:space="preserve">ny active data collection </w:t>
            </w:r>
            <w:r>
              <w:rPr>
                <w:rStyle w:val="Fett"/>
                <w:b w:val="0"/>
                <w:sz w:val="18"/>
                <w:szCs w:val="18"/>
                <w:lang w:val="en-GB"/>
              </w:rPr>
              <w:t>with involvement of a</w:t>
            </w:r>
            <w:r w:rsidRPr="00B43887">
              <w:rPr>
                <w:rStyle w:val="Fett"/>
                <w:b w:val="0"/>
                <w:sz w:val="18"/>
                <w:szCs w:val="18"/>
                <w:lang w:val="en-GB"/>
              </w:rPr>
              <w:t xml:space="preserve"> MAH must follow the regulatory framework for PASS</w:t>
            </w:r>
            <w:r>
              <w:rPr>
                <w:rStyle w:val="Fett"/>
                <w:b w:val="0"/>
                <w:sz w:val="18"/>
                <w:szCs w:val="18"/>
                <w:lang w:val="en-GB"/>
              </w:rPr>
              <w:t>.</w:t>
            </w:r>
          </w:p>
        </w:tc>
        <w:tc>
          <w:tcPr>
            <w:tcW w:w="3402" w:type="dxa"/>
          </w:tcPr>
          <w:p w:rsidR="00AD4CBC" w:rsidRPr="00E717D1" w:rsidRDefault="00D64049">
            <w:pPr>
              <w:pStyle w:val="Default"/>
              <w:spacing w:after="140" w:line="280" w:lineRule="exact"/>
              <w:rPr>
                <w:rStyle w:val="Fett"/>
                <w:b w:val="0"/>
                <w:sz w:val="18"/>
                <w:szCs w:val="18"/>
                <w:lang w:val="en-GB"/>
              </w:rPr>
            </w:pPr>
            <w:r w:rsidRPr="00B43887">
              <w:rPr>
                <w:rStyle w:val="Fett"/>
                <w:b w:val="0"/>
                <w:sz w:val="18"/>
                <w:szCs w:val="18"/>
                <w:lang w:val="en-GB"/>
              </w:rPr>
              <w:lastRenderedPageBreak/>
              <w:t xml:space="preserve">National requirements </w:t>
            </w:r>
            <w:r w:rsidR="00CB6D91">
              <w:rPr>
                <w:rStyle w:val="Fett"/>
                <w:b w:val="0"/>
                <w:sz w:val="18"/>
                <w:szCs w:val="18"/>
                <w:lang w:val="en-GB"/>
              </w:rPr>
              <w:t xml:space="preserve">may </w:t>
            </w:r>
            <w:r>
              <w:rPr>
                <w:rStyle w:val="Fett"/>
                <w:b w:val="0"/>
                <w:sz w:val="18"/>
                <w:szCs w:val="18"/>
                <w:lang w:val="en-GB"/>
              </w:rPr>
              <w:t>apply</w:t>
            </w:r>
            <w:r w:rsidRPr="00B43887">
              <w:rPr>
                <w:rStyle w:val="Fett"/>
                <w:b w:val="0"/>
                <w:sz w:val="18"/>
                <w:szCs w:val="18"/>
                <w:lang w:val="en-GB"/>
              </w:rPr>
              <w:t>.</w:t>
            </w:r>
            <w:r>
              <w:rPr>
                <w:rStyle w:val="Fett"/>
                <w:b w:val="0"/>
                <w:sz w:val="18"/>
                <w:szCs w:val="18"/>
                <w:lang w:val="en-GB"/>
              </w:rPr>
              <w:t xml:space="preserve"> </w:t>
            </w:r>
            <w:r w:rsidR="00050B68">
              <w:rPr>
                <w:rStyle w:val="Fett"/>
                <w:b w:val="0"/>
                <w:sz w:val="18"/>
                <w:szCs w:val="18"/>
                <w:lang w:val="en-GB"/>
              </w:rPr>
              <w:t>Regulatory requirements to MAH</w:t>
            </w:r>
            <w:r>
              <w:rPr>
                <w:rStyle w:val="Fett"/>
                <w:b w:val="0"/>
                <w:sz w:val="18"/>
                <w:szCs w:val="18"/>
                <w:lang w:val="en-GB"/>
              </w:rPr>
              <w:t>s</w:t>
            </w:r>
            <w:r w:rsidR="00050B68">
              <w:rPr>
                <w:rStyle w:val="Fett"/>
                <w:b w:val="0"/>
                <w:sz w:val="18"/>
                <w:szCs w:val="18"/>
                <w:lang w:val="en-GB"/>
              </w:rPr>
              <w:t xml:space="preserve"> </w:t>
            </w:r>
            <w:r w:rsidR="001E5A32">
              <w:rPr>
                <w:rStyle w:val="Fett"/>
                <w:b w:val="0"/>
                <w:sz w:val="18"/>
                <w:szCs w:val="18"/>
                <w:lang w:val="en-GB"/>
              </w:rPr>
              <w:lastRenderedPageBreak/>
              <w:t>differ between studies with</w:t>
            </w:r>
            <w:r w:rsidR="00050B68">
              <w:rPr>
                <w:rStyle w:val="Fett"/>
                <w:b w:val="0"/>
                <w:sz w:val="18"/>
                <w:szCs w:val="18"/>
                <w:lang w:val="en-GB"/>
              </w:rPr>
              <w:t xml:space="preserve"> primary or secondary data collection. </w:t>
            </w:r>
          </w:p>
        </w:tc>
      </w:tr>
      <w:tr w:rsidR="009A4467" w:rsidTr="00A35F68">
        <w:tc>
          <w:tcPr>
            <w:tcW w:w="2438" w:type="dxa"/>
          </w:tcPr>
          <w:p w:rsidR="00AD4CBC" w:rsidRPr="0029175B" w:rsidRDefault="00D64049" w:rsidP="00A35F68">
            <w:pPr>
              <w:pStyle w:val="Default"/>
              <w:spacing w:after="140" w:line="280" w:lineRule="exact"/>
              <w:rPr>
                <w:rStyle w:val="Fett"/>
                <w:sz w:val="18"/>
                <w:szCs w:val="18"/>
                <w:lang w:val="en-GB"/>
              </w:rPr>
            </w:pPr>
            <w:r w:rsidRPr="0029175B">
              <w:rPr>
                <w:rStyle w:val="Fett"/>
                <w:sz w:val="18"/>
                <w:szCs w:val="18"/>
                <w:lang w:val="en-GB"/>
              </w:rPr>
              <w:lastRenderedPageBreak/>
              <w:t>Data quality control</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Applied routinely to all data and processes</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Additional quality assurance may be needed.</w:t>
            </w:r>
          </w:p>
        </w:tc>
      </w:tr>
      <w:tr w:rsidR="009A4467" w:rsidTr="00A35F68">
        <w:tc>
          <w:tcPr>
            <w:tcW w:w="2438" w:type="dxa"/>
          </w:tcPr>
          <w:p w:rsidR="00AD4CBC" w:rsidRPr="0029175B" w:rsidRDefault="00D64049" w:rsidP="00A35F68">
            <w:pPr>
              <w:pStyle w:val="Default"/>
              <w:spacing w:after="140" w:line="280" w:lineRule="exact"/>
              <w:rPr>
                <w:rStyle w:val="Fett"/>
                <w:sz w:val="18"/>
                <w:szCs w:val="18"/>
                <w:lang w:val="en-GB"/>
              </w:rPr>
            </w:pPr>
            <w:r w:rsidRPr="0029175B">
              <w:rPr>
                <w:rStyle w:val="Fett"/>
                <w:sz w:val="18"/>
                <w:szCs w:val="18"/>
                <w:lang w:val="en-GB"/>
              </w:rPr>
              <w:t>Regulatory status</w:t>
            </w:r>
          </w:p>
        </w:tc>
        <w:tc>
          <w:tcPr>
            <w:tcW w:w="3402" w:type="dxa"/>
          </w:tcPr>
          <w:p w:rsidR="00AD4CBC" w:rsidRPr="0029175B" w:rsidRDefault="00D64049" w:rsidP="00BC7423">
            <w:pPr>
              <w:pStyle w:val="Default"/>
              <w:spacing w:after="140" w:line="280" w:lineRule="exact"/>
              <w:rPr>
                <w:rStyle w:val="Fett"/>
                <w:b w:val="0"/>
                <w:sz w:val="18"/>
                <w:szCs w:val="18"/>
                <w:lang w:val="en-GB"/>
              </w:rPr>
            </w:pPr>
            <w:r w:rsidRPr="0029175B">
              <w:rPr>
                <w:rStyle w:val="Fett"/>
                <w:b w:val="0"/>
                <w:sz w:val="18"/>
                <w:szCs w:val="18"/>
                <w:lang w:val="en-GB"/>
              </w:rPr>
              <w:t xml:space="preserve">Non-interventional </w:t>
            </w:r>
          </w:p>
        </w:tc>
        <w:tc>
          <w:tcPr>
            <w:tcW w:w="3402" w:type="dxa"/>
          </w:tcPr>
          <w:p w:rsidR="00AD4CBC" w:rsidRPr="0029175B" w:rsidRDefault="00D64049" w:rsidP="00A35F68">
            <w:pPr>
              <w:pStyle w:val="Default"/>
              <w:spacing w:after="140" w:line="280" w:lineRule="exact"/>
              <w:rPr>
                <w:rStyle w:val="Fett"/>
                <w:b w:val="0"/>
                <w:sz w:val="18"/>
                <w:szCs w:val="18"/>
                <w:lang w:val="en-GB"/>
              </w:rPr>
            </w:pPr>
            <w:r w:rsidRPr="0029175B">
              <w:rPr>
                <w:rStyle w:val="Fett"/>
                <w:b w:val="0"/>
                <w:sz w:val="18"/>
                <w:szCs w:val="18"/>
                <w:lang w:val="en-GB"/>
              </w:rPr>
              <w:t>Non-interventional or interventional</w:t>
            </w:r>
          </w:p>
        </w:tc>
      </w:tr>
    </w:tbl>
    <w:p w:rsidR="00AD4CBC" w:rsidRPr="0029175B" w:rsidRDefault="00D64049" w:rsidP="00AD4CBC">
      <w:pPr>
        <w:rPr>
          <w:rStyle w:val="Fett"/>
          <w:rFonts w:cs="Verdana"/>
          <w:b w:val="0"/>
          <w:color w:val="000000"/>
        </w:rPr>
      </w:pPr>
      <w:r w:rsidRPr="0029175B">
        <w:rPr>
          <w:rStyle w:val="Fett"/>
          <w:b w:val="0"/>
        </w:rPr>
        <w:br w:type="page"/>
      </w:r>
    </w:p>
    <w:p w:rsidR="00AD4CBC" w:rsidRPr="008B040E" w:rsidRDefault="00D64049" w:rsidP="008B040E">
      <w:pPr>
        <w:pStyle w:val="Heading1Agency"/>
        <w:rPr>
          <w:rStyle w:val="Fett"/>
          <w:b/>
          <w:bCs/>
        </w:rPr>
      </w:pPr>
      <w:bookmarkStart w:id="82" w:name="_Toc528934924"/>
      <w:r w:rsidRPr="008B040E">
        <w:rPr>
          <w:rStyle w:val="Fett"/>
          <w:b/>
          <w:bCs/>
        </w:rPr>
        <w:lastRenderedPageBreak/>
        <w:t xml:space="preserve">Use of patient </w:t>
      </w:r>
      <w:r w:rsidR="00CB3632" w:rsidRPr="008B040E">
        <w:rPr>
          <w:rStyle w:val="Fett"/>
          <w:b/>
          <w:bCs/>
        </w:rPr>
        <w:t xml:space="preserve">disease </w:t>
      </w:r>
      <w:r w:rsidRPr="008B040E">
        <w:rPr>
          <w:rStyle w:val="Fett"/>
          <w:b/>
          <w:bCs/>
        </w:rPr>
        <w:t>registries in medicines regulation</w:t>
      </w:r>
      <w:bookmarkEnd w:id="82"/>
    </w:p>
    <w:p w:rsidR="00380481" w:rsidRPr="0029175B" w:rsidRDefault="00D64049" w:rsidP="00380481">
      <w:pPr>
        <w:pStyle w:val="BodytextAgency"/>
      </w:pPr>
      <w:r w:rsidRPr="0029175B">
        <w:t xml:space="preserve">Pre-clinical and clinical </w:t>
      </w:r>
      <w:r w:rsidR="00B8794B">
        <w:t>trials</w:t>
      </w:r>
      <w:r w:rsidR="00B8794B" w:rsidRPr="0029175B">
        <w:t xml:space="preserve"> </w:t>
      </w:r>
      <w:r w:rsidRPr="0029175B">
        <w:t xml:space="preserve">are at the core of the scientific evaluation of medicines before their authorisation, but this evaluation </w:t>
      </w:r>
      <w:r w:rsidR="00B8794B">
        <w:t>may be supported or</w:t>
      </w:r>
      <w:r w:rsidRPr="0029175B">
        <w:t xml:space="preserve"> supplemented with evidence derived from observational data. These include descriptive data on standards of care for the concerned disease, incidence and determinants of disease outcomes in clinical practice, characteristics of the target population for a new medicine, or validity of any surrogate endpoint used to measure efficacy. In some circumstances (e.g. very rare diseases) where randomised controlled trials</w:t>
      </w:r>
      <w:r w:rsidR="00522C32" w:rsidRPr="0029175B">
        <w:t xml:space="preserve"> (RCTs)</w:t>
      </w:r>
      <w:r w:rsidRPr="0029175B">
        <w:t xml:space="preserve"> are </w:t>
      </w:r>
      <w:r w:rsidR="006879C7" w:rsidRPr="0029175B">
        <w:t xml:space="preserve">unethical </w:t>
      </w:r>
      <w:r w:rsidR="006879C7">
        <w:t xml:space="preserve">or </w:t>
      </w:r>
      <w:r w:rsidRPr="0029175B">
        <w:t>not feasible, observational evidence may also be used</w:t>
      </w:r>
      <w:r w:rsidR="00522C32" w:rsidRPr="0029175B">
        <w:t xml:space="preserve"> to </w:t>
      </w:r>
      <w:r w:rsidR="002373D4">
        <w:t>assess</w:t>
      </w:r>
      <w:r w:rsidR="002373D4" w:rsidRPr="0029175B">
        <w:t xml:space="preserve"> </w:t>
      </w:r>
      <w:r w:rsidR="00522C32" w:rsidRPr="0029175B">
        <w:t xml:space="preserve">efficacy and </w:t>
      </w:r>
      <w:r w:rsidRPr="0029175B">
        <w:t xml:space="preserve">the benefit-risk </w:t>
      </w:r>
      <w:r w:rsidR="002373D4">
        <w:t>profile</w:t>
      </w:r>
      <w:r w:rsidR="002373D4" w:rsidRPr="0029175B">
        <w:t xml:space="preserve"> </w:t>
      </w:r>
      <w:r w:rsidRPr="0029175B">
        <w:t>of medicinal products.</w:t>
      </w:r>
    </w:p>
    <w:p w:rsidR="0013145B" w:rsidRPr="0029175B" w:rsidRDefault="00D64049" w:rsidP="00380481">
      <w:pPr>
        <w:pStyle w:val="BodytextAgency"/>
        <w:rPr>
          <w:rStyle w:val="Fett"/>
          <w:b w:val="0"/>
        </w:rPr>
      </w:pPr>
      <w:r w:rsidRPr="0029175B">
        <w:t xml:space="preserve">At the time of authorisation, and post-authorisation during the whole life cycle of the product, regulatory authorities may also request MAHs to collect additional data on the utilisation, benefits and risks of their medicines pursuant to a legal obligation (since June 2012) or in the context of the RMP, either as </w:t>
      </w:r>
      <w:r w:rsidR="007E2F1F">
        <w:t xml:space="preserve">a </w:t>
      </w:r>
      <w:r w:rsidRPr="0029175B">
        <w:t>PASS or as a post-authorisation efficacy study (PAES).</w:t>
      </w:r>
      <w:r w:rsidR="00B52146" w:rsidRPr="0029175B">
        <w:t xml:space="preserve"> Both may be non-interventional</w:t>
      </w:r>
      <w:r w:rsidRPr="0029175B">
        <w:t>, i.e. they may be based on observational data</w:t>
      </w:r>
      <w:r w:rsidR="006637F3" w:rsidRPr="0029175B">
        <w:t xml:space="preserve"> </w:t>
      </w:r>
      <w:r w:rsidR="006637F3" w:rsidRPr="0029175B">
        <w:fldChar w:fldCharType="begin"/>
      </w:r>
      <w:r w:rsidR="005E2E45">
        <w:instrText xml:space="preserve"> ADDIN ZOTERO_ITEM CSL_CITATION {"citationID":"a1ld370o51c","properties":{"formattedCitation":"(20)","plainCitation":"(20)"},"citationItems":[{"id":2271,"uris":["http://zotero.org/users/local/tAKp4fcl/items/2L6EDWCG"],"uri":["http://zotero.org/users/local/tAKp4fcl/items/2L6EDWCG"],"itemData":{"id":2271,"type":"article","title":"Guideline on good pharmacovigilance practices (GVP) Module VIII – Post-authorisation safety studies (Rev 3). EMA/813938/2011 Rev 3*","URL":"http://www.ema.europa.eu/docs/en_GB/document_library/Scientific_guideline/2012/06/WC500129137.pdf","author":[{"literal":"European Medicines Agency (EMA)"}],"issued":{"date-parts":[["2017",10,9]]}}}],"schema":"https://github.com/citation-style-language/schema/raw/master/csl-citation.json"} </w:instrText>
      </w:r>
      <w:r w:rsidR="006637F3" w:rsidRPr="0029175B">
        <w:fldChar w:fldCharType="separate"/>
      </w:r>
      <w:r w:rsidR="005E2E45" w:rsidRPr="005E2E45">
        <w:t>(20)</w:t>
      </w:r>
      <w:r w:rsidR="006637F3" w:rsidRPr="0029175B">
        <w:fldChar w:fldCharType="end"/>
      </w:r>
      <w:r w:rsidR="006637F3" w:rsidRPr="0029175B">
        <w:t xml:space="preserve"> </w:t>
      </w:r>
      <w:r w:rsidR="006637F3" w:rsidRPr="0029175B">
        <w:fldChar w:fldCharType="begin"/>
      </w:r>
      <w:r w:rsidR="005E2E45">
        <w:instrText xml:space="preserve"> ADDIN ZOTERO_ITEM CSL_CITATION {"citationID":"a11eabtsevu","properties":{"formattedCitation":"(22)","plainCitation":"(22)"},"citationItems":[{"id":2250,"uris":["http://zotero.org/users/local/tAKp4fcl/items/PD8M72AS"],"uri":["http://zotero.org/users/local/tAKp4fcl/items/PD8M72AS"],"itemData":{"id":2250,"type":"article","title":"Scientific guidance on post-authorisation efficacy studies. EMA/PDCO/CAT/CMDh/PRAC/CHMP/261500/2015","URL":"http://www.ema.europa.eu/docs/en_GB/document_library/Scientific_guideline/2016/12/WC500219040.pdf","author":[{"literal":"European Medicines Agency (EMA)"}],"issued":{"date-parts":[["2016",10,12]]}}}],"schema":"https://github.com/citation-style-language/schema/raw/master/csl-citation.json"} </w:instrText>
      </w:r>
      <w:r w:rsidR="006637F3" w:rsidRPr="0029175B">
        <w:fldChar w:fldCharType="separate"/>
      </w:r>
      <w:r w:rsidR="005E2E45" w:rsidRPr="005E2E45">
        <w:t>(22)</w:t>
      </w:r>
      <w:r w:rsidR="006637F3" w:rsidRPr="0029175B">
        <w:fldChar w:fldCharType="end"/>
      </w:r>
      <w:r w:rsidR="004E6C7C" w:rsidRPr="0029175B">
        <w:t>.</w:t>
      </w:r>
      <w:r w:rsidRPr="0029175B">
        <w:t xml:space="preserve">  </w:t>
      </w:r>
    </w:p>
    <w:p w:rsidR="001A4E48" w:rsidRPr="0029175B" w:rsidRDefault="00D64049" w:rsidP="00AD4CBC">
      <w:pPr>
        <w:pStyle w:val="Default"/>
        <w:spacing w:after="140" w:line="280" w:lineRule="exact"/>
        <w:rPr>
          <w:sz w:val="18"/>
          <w:szCs w:val="18"/>
          <w:lang w:val="en-GB"/>
        </w:rPr>
      </w:pPr>
      <w:r w:rsidRPr="0029175B">
        <w:rPr>
          <w:sz w:val="18"/>
          <w:szCs w:val="18"/>
          <w:lang w:val="en-GB"/>
        </w:rPr>
        <w:t xml:space="preserve">Patient </w:t>
      </w:r>
      <w:r w:rsidR="00CB3632">
        <w:rPr>
          <w:sz w:val="18"/>
          <w:szCs w:val="18"/>
          <w:lang w:val="en-GB"/>
        </w:rPr>
        <w:t xml:space="preserve">disease </w:t>
      </w:r>
      <w:r w:rsidRPr="0029175B">
        <w:rPr>
          <w:sz w:val="18"/>
          <w:szCs w:val="18"/>
          <w:lang w:val="en-GB"/>
        </w:rPr>
        <w:t xml:space="preserve">registries represent an important source of information derived from clinical practice. </w:t>
      </w:r>
      <w:r w:rsidR="00B52146" w:rsidRPr="0029175B">
        <w:rPr>
          <w:sz w:val="18"/>
          <w:szCs w:val="18"/>
          <w:lang w:val="en-GB"/>
        </w:rPr>
        <w:t>They</w:t>
      </w:r>
      <w:r w:rsidRPr="0029175B">
        <w:rPr>
          <w:sz w:val="18"/>
          <w:szCs w:val="18"/>
          <w:lang w:val="en-GB"/>
        </w:rPr>
        <w:t xml:space="preserve"> are particularly useful when dealing with a rare disease</w:t>
      </w:r>
      <w:r w:rsidR="00CB3632">
        <w:rPr>
          <w:sz w:val="18"/>
          <w:szCs w:val="18"/>
          <w:lang w:val="en-GB"/>
        </w:rPr>
        <w:t xml:space="preserve"> </w:t>
      </w:r>
      <w:r w:rsidR="00F11592">
        <w:rPr>
          <w:sz w:val="18"/>
          <w:szCs w:val="18"/>
          <w:lang w:val="en-GB"/>
        </w:rPr>
        <w:t>or with</w:t>
      </w:r>
      <w:r w:rsidR="00CB3632">
        <w:rPr>
          <w:sz w:val="18"/>
          <w:szCs w:val="18"/>
          <w:lang w:val="en-GB"/>
        </w:rPr>
        <w:t xml:space="preserve"> </w:t>
      </w:r>
      <w:r w:rsidR="00522C32" w:rsidRPr="0029175B">
        <w:rPr>
          <w:sz w:val="18"/>
          <w:szCs w:val="18"/>
          <w:lang w:val="en-GB"/>
        </w:rPr>
        <w:t xml:space="preserve">a </w:t>
      </w:r>
      <w:r w:rsidRPr="0029175B">
        <w:rPr>
          <w:sz w:val="18"/>
          <w:szCs w:val="18"/>
          <w:lang w:val="en-GB"/>
        </w:rPr>
        <w:t>special population</w:t>
      </w:r>
      <w:r w:rsidR="005F3212" w:rsidRPr="0029175B">
        <w:rPr>
          <w:sz w:val="18"/>
          <w:szCs w:val="18"/>
          <w:lang w:val="en-GB"/>
        </w:rPr>
        <w:t xml:space="preserve"> </w:t>
      </w:r>
      <w:r w:rsidR="00F11592">
        <w:rPr>
          <w:sz w:val="18"/>
          <w:szCs w:val="18"/>
          <w:lang w:val="en-GB"/>
        </w:rPr>
        <w:t>affected by a disease,</w:t>
      </w:r>
      <w:r w:rsidR="00666611">
        <w:rPr>
          <w:sz w:val="18"/>
          <w:szCs w:val="18"/>
          <w:lang w:val="en-GB"/>
        </w:rPr>
        <w:t xml:space="preserve"> </w:t>
      </w:r>
      <w:r w:rsidR="00F11592">
        <w:rPr>
          <w:sz w:val="18"/>
          <w:szCs w:val="18"/>
          <w:lang w:val="en-GB"/>
        </w:rPr>
        <w:t>such as</w:t>
      </w:r>
      <w:r w:rsidR="00666611">
        <w:rPr>
          <w:sz w:val="18"/>
          <w:szCs w:val="18"/>
          <w:lang w:val="en-GB"/>
        </w:rPr>
        <w:t xml:space="preserve"> older people</w:t>
      </w:r>
      <w:r w:rsidR="005F3212" w:rsidRPr="0029175B">
        <w:rPr>
          <w:sz w:val="18"/>
          <w:szCs w:val="18"/>
          <w:lang w:val="en-GB"/>
        </w:rPr>
        <w:t xml:space="preserve">. </w:t>
      </w:r>
      <w:r w:rsidR="007E2F1F">
        <w:rPr>
          <w:sz w:val="18"/>
          <w:szCs w:val="18"/>
          <w:lang w:val="en-GB"/>
        </w:rPr>
        <w:t>The</w:t>
      </w:r>
      <w:r w:rsidR="007E2F1F" w:rsidRPr="0029175B">
        <w:rPr>
          <w:sz w:val="18"/>
          <w:szCs w:val="18"/>
          <w:lang w:val="en-GB"/>
        </w:rPr>
        <w:t xml:space="preserve"> </w:t>
      </w:r>
      <w:r w:rsidRPr="0029175B">
        <w:rPr>
          <w:sz w:val="18"/>
          <w:szCs w:val="18"/>
          <w:lang w:val="en-GB"/>
        </w:rPr>
        <w:t>registry can be used as a source of patients based on either primary data collection (</w:t>
      </w:r>
      <w:r w:rsidR="00C40F61" w:rsidRPr="0029175B">
        <w:rPr>
          <w:sz w:val="18"/>
          <w:szCs w:val="18"/>
          <w:lang w:val="en-GB"/>
        </w:rPr>
        <w:t>where the events of interest for the study are collected directly from patients as they come to the attention of the investigator</w:t>
      </w:r>
      <w:r w:rsidRPr="0029175B">
        <w:rPr>
          <w:sz w:val="18"/>
          <w:szCs w:val="18"/>
          <w:lang w:val="en-GB"/>
        </w:rPr>
        <w:t xml:space="preserve">) or secondary data collection (analogously to the use of electronic healthcare records). For this purpose, registry data can be enriched with additional information from linkage to existing databases such as national cancer registries, prescription databases or mortality records. </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For common diseases, exposures or conditions, alternative data sources providing access to large numbers of patients, such as electronic healthcare databases of medical records or claims data, should be </w:t>
      </w:r>
      <w:r w:rsidR="00697E6D">
        <w:rPr>
          <w:sz w:val="18"/>
          <w:szCs w:val="18"/>
          <w:lang w:val="en-GB"/>
        </w:rPr>
        <w:t xml:space="preserve">rather </w:t>
      </w:r>
      <w:r w:rsidRPr="0029175B">
        <w:rPr>
          <w:sz w:val="18"/>
          <w:szCs w:val="18"/>
          <w:lang w:val="en-GB"/>
        </w:rPr>
        <w:t>considered</w:t>
      </w:r>
      <w:r w:rsidR="00920512" w:rsidRPr="0029175B">
        <w:rPr>
          <w:sz w:val="18"/>
          <w:szCs w:val="18"/>
          <w:lang w:val="en-GB"/>
        </w:rPr>
        <w:t xml:space="preserve"> </w:t>
      </w:r>
      <w:r w:rsidR="00920512" w:rsidRPr="006E7959">
        <w:rPr>
          <w:sz w:val="18"/>
          <w:szCs w:val="18"/>
          <w:lang w:val="en-GB"/>
        </w:rPr>
        <w:fldChar w:fldCharType="begin"/>
      </w:r>
      <w:r w:rsidR="005E2E45">
        <w:rPr>
          <w:sz w:val="18"/>
          <w:szCs w:val="18"/>
          <w:lang w:val="en-GB"/>
        </w:rPr>
        <w:instrText xml:space="preserve"> ADDIN ZOTERO_ITEM CSL_CITATION {"citationID":"a4c5lv3h9d","properties":{"formattedCitation":"(23)","plainCitation":"(23)"},"citationItems":[{"id":2287,"uris":["http://zotero.org/users/local/tAKp4fcl/items/K22FK43L"],"uri":["http://zotero.org/users/local/tAKp4fcl/items/K22FK43L"],"itemData":{"id":2287,"type":"article-journal","title":"Electronic healthcare databases in Europe: descriptive analysis of characteristics and potential for use in medicines regulation.","journalAbbreviation":"BMJ Open","author":[{"literal":"Pacurariu A."},{"literal":"Plueschke K"},{"literal":"McGettigan P"},{"literal":"Morales D R"},{"literal":"Slattery J"},{"literal":"Vogl D"},{"literal":"Goedecke T"},{"literal":"Kurz X"},{"literal":"Cave A"}],"issued":{"literal":"In press"}}}],"schema":"https://github.com/citation-style-language/schema/raw/master/csl-citation.json"} </w:instrText>
      </w:r>
      <w:r w:rsidR="00920512" w:rsidRPr="006E7959">
        <w:rPr>
          <w:sz w:val="18"/>
          <w:szCs w:val="18"/>
          <w:lang w:val="en-GB"/>
        </w:rPr>
        <w:fldChar w:fldCharType="separate"/>
      </w:r>
      <w:r w:rsidR="005E2E45" w:rsidRPr="005E2E45">
        <w:rPr>
          <w:sz w:val="18"/>
        </w:rPr>
        <w:t>(23)</w:t>
      </w:r>
      <w:r w:rsidR="00920512" w:rsidRPr="006E7959">
        <w:rPr>
          <w:sz w:val="18"/>
          <w:szCs w:val="18"/>
          <w:lang w:val="en-GB"/>
        </w:rPr>
        <w:fldChar w:fldCharType="end"/>
      </w:r>
      <w:r w:rsidRPr="0029175B">
        <w:rPr>
          <w:sz w:val="18"/>
          <w:szCs w:val="18"/>
          <w:lang w:val="en-GB"/>
        </w:rPr>
        <w:t>.</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Patient registries may provide data on patient characteristics, diseases and treatments as well as on their determinants and their outcomes (clinical outcomes or patient-reported outcomes). </w:t>
      </w:r>
      <w:r w:rsidR="001C7CDD" w:rsidRPr="0029175B">
        <w:rPr>
          <w:sz w:val="18"/>
          <w:szCs w:val="18"/>
          <w:lang w:val="en-GB"/>
        </w:rPr>
        <w:t>W</w:t>
      </w:r>
      <w:r w:rsidRPr="0029175B">
        <w:rPr>
          <w:sz w:val="18"/>
          <w:szCs w:val="18"/>
          <w:lang w:val="en-GB"/>
        </w:rPr>
        <w:t>ith adequate quality</w:t>
      </w:r>
      <w:r w:rsidR="001C7CDD" w:rsidRPr="0029175B">
        <w:rPr>
          <w:sz w:val="18"/>
          <w:szCs w:val="18"/>
          <w:lang w:val="en-GB"/>
        </w:rPr>
        <w:t>, they</w:t>
      </w:r>
      <w:r w:rsidRPr="0029175B">
        <w:rPr>
          <w:sz w:val="18"/>
          <w:szCs w:val="18"/>
          <w:lang w:val="en-GB"/>
        </w:rPr>
        <w:t xml:space="preserve"> are therefore useful for the following studies:</w:t>
      </w:r>
    </w:p>
    <w:p w:rsidR="00AD4CBC" w:rsidRPr="0029175B" w:rsidRDefault="00D64049" w:rsidP="00AD4CBC">
      <w:pPr>
        <w:pStyle w:val="Default"/>
        <w:numPr>
          <w:ilvl w:val="0"/>
          <w:numId w:val="7"/>
        </w:numPr>
        <w:spacing w:after="140" w:line="280" w:lineRule="exact"/>
        <w:rPr>
          <w:sz w:val="18"/>
          <w:szCs w:val="18"/>
          <w:lang w:val="en-GB"/>
        </w:rPr>
      </w:pPr>
      <w:r w:rsidRPr="0029175B">
        <w:rPr>
          <w:sz w:val="18"/>
          <w:szCs w:val="18"/>
          <w:lang w:val="en-GB"/>
        </w:rPr>
        <w:t>drug utilisation studies</w:t>
      </w:r>
      <w:r w:rsidR="002373D4">
        <w:rPr>
          <w:sz w:val="18"/>
          <w:szCs w:val="18"/>
          <w:lang w:val="en-GB"/>
        </w:rPr>
        <w:t xml:space="preserve"> (DUS)</w:t>
      </w:r>
      <w:r w:rsidR="00DD4D50" w:rsidRPr="0029175B">
        <w:rPr>
          <w:sz w:val="18"/>
          <w:szCs w:val="18"/>
          <w:lang w:val="en-GB"/>
        </w:rPr>
        <w:t>, including studies mea</w:t>
      </w:r>
      <w:r w:rsidR="004A612C" w:rsidRPr="0029175B">
        <w:rPr>
          <w:sz w:val="18"/>
          <w:szCs w:val="18"/>
          <w:lang w:val="en-GB"/>
        </w:rPr>
        <w:t>s</w:t>
      </w:r>
      <w:r w:rsidR="00DD4D50" w:rsidRPr="0029175B">
        <w:rPr>
          <w:sz w:val="18"/>
          <w:szCs w:val="18"/>
          <w:lang w:val="en-GB"/>
        </w:rPr>
        <w:t>uring the prevalence or incidence of d</w:t>
      </w:r>
      <w:r w:rsidR="004A612C" w:rsidRPr="0029175B">
        <w:rPr>
          <w:sz w:val="18"/>
          <w:szCs w:val="18"/>
          <w:lang w:val="en-GB"/>
        </w:rPr>
        <w:t>r</w:t>
      </w:r>
      <w:r w:rsidR="00DD4D50" w:rsidRPr="0029175B">
        <w:rPr>
          <w:sz w:val="18"/>
          <w:szCs w:val="18"/>
          <w:lang w:val="en-GB"/>
        </w:rPr>
        <w:t>ug prescription in a population and describing patterns of utilisation (dosage, schedule</w:t>
      </w:r>
      <w:r w:rsidR="00381D30" w:rsidRPr="0029175B">
        <w:rPr>
          <w:sz w:val="18"/>
          <w:szCs w:val="18"/>
          <w:lang w:val="en-GB"/>
        </w:rPr>
        <w:t>, duration, switching between treatments, etc.)</w:t>
      </w:r>
      <w:r w:rsidR="00697E6D">
        <w:rPr>
          <w:sz w:val="18"/>
          <w:szCs w:val="18"/>
          <w:lang w:val="en-GB"/>
        </w:rPr>
        <w:t>;</w:t>
      </w:r>
    </w:p>
    <w:p w:rsidR="00AD4CBC" w:rsidRPr="0029175B" w:rsidRDefault="00D64049" w:rsidP="0001372C">
      <w:pPr>
        <w:pStyle w:val="Default"/>
        <w:numPr>
          <w:ilvl w:val="0"/>
          <w:numId w:val="7"/>
        </w:numPr>
        <w:spacing w:after="140" w:line="280" w:lineRule="exact"/>
        <w:rPr>
          <w:rFonts w:cs="Times New Roman"/>
          <w:sz w:val="18"/>
          <w:szCs w:val="18"/>
          <w:lang w:val="en-GB"/>
        </w:rPr>
      </w:pPr>
      <w:r>
        <w:rPr>
          <w:sz w:val="18"/>
          <w:szCs w:val="18"/>
          <w:lang w:val="en-GB"/>
        </w:rPr>
        <w:t xml:space="preserve">post-authorisation </w:t>
      </w:r>
      <w:r w:rsidR="00194B01" w:rsidRPr="0029175B">
        <w:rPr>
          <w:sz w:val="18"/>
          <w:szCs w:val="18"/>
          <w:lang w:val="en-GB"/>
        </w:rPr>
        <w:t xml:space="preserve">efficacy studies </w:t>
      </w:r>
      <w:r w:rsidR="00CE0063">
        <w:rPr>
          <w:sz w:val="18"/>
          <w:szCs w:val="18"/>
          <w:lang w:val="en-GB"/>
        </w:rPr>
        <w:t>(PAES)</w:t>
      </w:r>
      <w:r w:rsidR="0001372C" w:rsidRPr="0029175B">
        <w:rPr>
          <w:sz w:val="18"/>
          <w:szCs w:val="18"/>
          <w:lang w:val="en-GB"/>
        </w:rPr>
        <w:t>,</w:t>
      </w:r>
      <w:r w:rsidR="001C7CDD" w:rsidRPr="0029175B">
        <w:rPr>
          <w:sz w:val="18"/>
          <w:szCs w:val="18"/>
          <w:lang w:val="en-GB"/>
        </w:rPr>
        <w:t xml:space="preserve"> to study </w:t>
      </w:r>
      <w:r w:rsidR="00D67FD1">
        <w:rPr>
          <w:sz w:val="18"/>
          <w:szCs w:val="18"/>
          <w:lang w:val="en-GB"/>
        </w:rPr>
        <w:t>efficacy/</w:t>
      </w:r>
      <w:r w:rsidR="001C7CDD" w:rsidRPr="0029175B">
        <w:rPr>
          <w:sz w:val="18"/>
          <w:szCs w:val="18"/>
          <w:lang w:val="en-GB"/>
        </w:rPr>
        <w:t xml:space="preserve">effectiveness in patient sub-groups defined by variables such as age, co-morbidities, use of concomitant medication or genetic factors, </w:t>
      </w:r>
      <w:r w:rsidR="0001372C" w:rsidRPr="0029175B">
        <w:rPr>
          <w:sz w:val="18"/>
          <w:szCs w:val="18"/>
          <w:lang w:val="en-GB"/>
        </w:rPr>
        <w:t>and to provide historical control data that could be used for comparative purposes</w:t>
      </w:r>
      <w:r w:rsidR="00697E6D">
        <w:rPr>
          <w:sz w:val="18"/>
          <w:szCs w:val="18"/>
          <w:lang w:val="en-GB"/>
        </w:rPr>
        <w:t>;</w:t>
      </w:r>
      <w:r w:rsidR="004C3C64">
        <w:rPr>
          <w:sz w:val="18"/>
          <w:szCs w:val="18"/>
          <w:lang w:val="en-GB"/>
        </w:rPr>
        <w:t xml:space="preserve"> </w:t>
      </w:r>
    </w:p>
    <w:p w:rsidR="00AD4CBC" w:rsidRPr="0029175B" w:rsidRDefault="00D64049" w:rsidP="00FD6224">
      <w:pPr>
        <w:pStyle w:val="Default"/>
        <w:numPr>
          <w:ilvl w:val="0"/>
          <w:numId w:val="7"/>
        </w:numPr>
        <w:spacing w:after="140" w:line="280" w:lineRule="exact"/>
        <w:rPr>
          <w:sz w:val="18"/>
          <w:szCs w:val="18"/>
          <w:lang w:val="en-GB"/>
        </w:rPr>
      </w:pPr>
      <w:r>
        <w:rPr>
          <w:sz w:val="18"/>
          <w:szCs w:val="18"/>
          <w:lang w:val="en-GB"/>
        </w:rPr>
        <w:t xml:space="preserve">post-authorisation </w:t>
      </w:r>
      <w:r w:rsidR="00961C90" w:rsidRPr="0029175B">
        <w:rPr>
          <w:sz w:val="18"/>
          <w:szCs w:val="18"/>
          <w:lang w:val="en-GB"/>
        </w:rPr>
        <w:t xml:space="preserve">drug safety </w:t>
      </w:r>
      <w:r>
        <w:rPr>
          <w:sz w:val="18"/>
          <w:szCs w:val="18"/>
          <w:lang w:val="en-GB"/>
        </w:rPr>
        <w:t>studies (PASS)</w:t>
      </w:r>
      <w:r w:rsidR="00961C90" w:rsidRPr="0029175B">
        <w:rPr>
          <w:sz w:val="18"/>
          <w:szCs w:val="18"/>
          <w:lang w:val="en-GB"/>
        </w:rPr>
        <w:t>, to collect safety data</w:t>
      </w:r>
      <w:r w:rsidR="00FD6224" w:rsidRPr="0029175B">
        <w:rPr>
          <w:sz w:val="18"/>
          <w:szCs w:val="18"/>
          <w:lang w:val="en-GB"/>
        </w:rPr>
        <w:t xml:space="preserve"> on adverse events using standardised </w:t>
      </w:r>
      <w:r w:rsidR="00381D30" w:rsidRPr="0029175B">
        <w:rPr>
          <w:sz w:val="18"/>
          <w:szCs w:val="18"/>
          <w:lang w:val="en-GB"/>
        </w:rPr>
        <w:t>data collection tools</w:t>
      </w:r>
      <w:r w:rsidR="00FD6224" w:rsidRPr="0029175B">
        <w:rPr>
          <w:sz w:val="18"/>
          <w:szCs w:val="18"/>
          <w:lang w:val="en-GB"/>
        </w:rPr>
        <w:t xml:space="preserve"> and amplify a safety signal, particularly for rare outcomes, </w:t>
      </w:r>
      <w:r w:rsidR="001C7CDD" w:rsidRPr="0029175B">
        <w:rPr>
          <w:sz w:val="18"/>
          <w:szCs w:val="18"/>
          <w:lang w:val="en-GB"/>
        </w:rPr>
        <w:t xml:space="preserve">to </w:t>
      </w:r>
      <w:r w:rsidR="00961C90" w:rsidRPr="0029175B">
        <w:rPr>
          <w:sz w:val="18"/>
          <w:szCs w:val="18"/>
          <w:lang w:val="en-GB"/>
        </w:rPr>
        <w:t>assess the incidence of important identified and potential risks</w:t>
      </w:r>
      <w:r w:rsidR="00523D4B">
        <w:rPr>
          <w:sz w:val="18"/>
          <w:szCs w:val="18"/>
          <w:lang w:val="en-GB"/>
        </w:rPr>
        <w:t>,</w:t>
      </w:r>
      <w:r w:rsidR="00961C90" w:rsidRPr="0029175B">
        <w:rPr>
          <w:sz w:val="18"/>
          <w:szCs w:val="18"/>
          <w:lang w:val="en-GB"/>
        </w:rPr>
        <w:t xml:space="preserve"> </w:t>
      </w:r>
      <w:r w:rsidR="001C7CDD" w:rsidRPr="0029175B">
        <w:rPr>
          <w:sz w:val="18"/>
          <w:szCs w:val="18"/>
          <w:lang w:val="en-GB"/>
        </w:rPr>
        <w:t xml:space="preserve">to </w:t>
      </w:r>
      <w:r w:rsidR="00961C90" w:rsidRPr="0029175B">
        <w:rPr>
          <w:sz w:val="18"/>
          <w:szCs w:val="18"/>
          <w:lang w:val="en-GB"/>
        </w:rPr>
        <w:t>compare the risk of some adverse events between relevant exposure groups</w:t>
      </w:r>
      <w:r w:rsidR="00523D4B">
        <w:rPr>
          <w:sz w:val="18"/>
          <w:szCs w:val="18"/>
          <w:lang w:val="en-GB"/>
        </w:rPr>
        <w:t xml:space="preserve"> or to assess the effectiveness of risk minimisation measures</w:t>
      </w:r>
      <w:r w:rsidR="00961C90" w:rsidRPr="0029175B">
        <w:rPr>
          <w:sz w:val="18"/>
          <w:szCs w:val="18"/>
          <w:lang w:val="en-GB"/>
        </w:rPr>
        <w:t>.</w:t>
      </w:r>
      <w:r w:rsidR="00FD6224" w:rsidRPr="0029175B">
        <w:rPr>
          <w:sz w:val="18"/>
          <w:szCs w:val="18"/>
          <w:lang w:val="en-GB"/>
        </w:rPr>
        <w:t xml:space="preserve"> </w:t>
      </w:r>
      <w:r w:rsidR="001C7CDD" w:rsidRPr="0029175B">
        <w:rPr>
          <w:sz w:val="18"/>
          <w:szCs w:val="18"/>
          <w:lang w:val="en-GB"/>
        </w:rPr>
        <w:t>Registries</w:t>
      </w:r>
      <w:r w:rsidR="00FD6224" w:rsidRPr="0029175B">
        <w:rPr>
          <w:sz w:val="18"/>
          <w:szCs w:val="18"/>
          <w:lang w:val="en-GB"/>
        </w:rPr>
        <w:t xml:space="preserve"> may be particularly valuable when examining the safety of medicinal product</w:t>
      </w:r>
      <w:r w:rsidR="00D67FD1">
        <w:rPr>
          <w:sz w:val="18"/>
          <w:szCs w:val="18"/>
          <w:lang w:val="en-GB"/>
        </w:rPr>
        <w:t xml:space="preserve"> used for an orphan disease</w:t>
      </w:r>
      <w:r w:rsidR="001C7CDD" w:rsidRPr="0029175B">
        <w:rPr>
          <w:sz w:val="18"/>
          <w:szCs w:val="18"/>
          <w:lang w:val="en-GB"/>
        </w:rPr>
        <w:t>.</w:t>
      </w:r>
    </w:p>
    <w:p w:rsidR="00CB6A7F" w:rsidRPr="0029175B" w:rsidRDefault="00D64049" w:rsidP="00AD4CBC">
      <w:pPr>
        <w:pStyle w:val="Default"/>
        <w:spacing w:after="140" w:line="280" w:lineRule="exact"/>
        <w:rPr>
          <w:sz w:val="18"/>
          <w:szCs w:val="18"/>
          <w:lang w:val="en-GB"/>
        </w:rPr>
      </w:pPr>
      <w:r w:rsidRPr="0029175B">
        <w:rPr>
          <w:sz w:val="18"/>
          <w:szCs w:val="18"/>
          <w:lang w:val="en-GB"/>
        </w:rPr>
        <w:t>Incorporating data from clinical practice into the drug development process is a</w:t>
      </w:r>
      <w:r w:rsidR="00945C6B" w:rsidRPr="0029175B">
        <w:rPr>
          <w:sz w:val="18"/>
          <w:szCs w:val="18"/>
          <w:lang w:val="en-GB"/>
        </w:rPr>
        <w:t>lso of</w:t>
      </w:r>
      <w:r w:rsidRPr="0029175B">
        <w:rPr>
          <w:sz w:val="18"/>
          <w:szCs w:val="18"/>
          <w:lang w:val="en-GB"/>
        </w:rPr>
        <w:t xml:space="preserve"> growing interest f</w:t>
      </w:r>
      <w:r w:rsidR="00945C6B" w:rsidRPr="0029175B">
        <w:rPr>
          <w:sz w:val="18"/>
          <w:szCs w:val="18"/>
          <w:lang w:val="en-GB"/>
        </w:rPr>
        <w:t xml:space="preserve">or </w:t>
      </w:r>
      <w:r w:rsidRPr="0029175B">
        <w:rPr>
          <w:sz w:val="18"/>
          <w:szCs w:val="18"/>
          <w:lang w:val="en-GB"/>
        </w:rPr>
        <w:t xml:space="preserve">health technology assessment (HTA) bodies and payers since reimbursement decisions can benefit from better estimation and prediction of effectiveness of treatments at the time of product launch. An example of where registries </w:t>
      </w:r>
      <w:r w:rsidR="00732F25" w:rsidRPr="0029175B">
        <w:rPr>
          <w:sz w:val="18"/>
          <w:szCs w:val="18"/>
          <w:lang w:val="en-GB"/>
        </w:rPr>
        <w:t>c</w:t>
      </w:r>
      <w:r w:rsidR="00732F25">
        <w:rPr>
          <w:sz w:val="18"/>
          <w:szCs w:val="18"/>
          <w:lang w:val="en-GB"/>
        </w:rPr>
        <w:t>ould</w:t>
      </w:r>
      <w:r w:rsidR="00732F25" w:rsidRPr="0029175B">
        <w:rPr>
          <w:sz w:val="18"/>
          <w:szCs w:val="18"/>
          <w:lang w:val="en-GB"/>
        </w:rPr>
        <w:t xml:space="preserve"> </w:t>
      </w:r>
      <w:r w:rsidRPr="0029175B">
        <w:rPr>
          <w:sz w:val="18"/>
          <w:szCs w:val="18"/>
          <w:lang w:val="en-GB"/>
        </w:rPr>
        <w:t xml:space="preserve">provide clinical practice data is the building of predictive models that </w:t>
      </w:r>
      <w:r w:rsidRPr="0029175B">
        <w:rPr>
          <w:sz w:val="18"/>
          <w:szCs w:val="18"/>
          <w:lang w:val="en-GB"/>
        </w:rPr>
        <w:lastRenderedPageBreak/>
        <w:t>incorporate data from both RCTs and registries</w:t>
      </w:r>
      <w:r w:rsidRPr="00D67FD1">
        <w:rPr>
          <w:sz w:val="18"/>
          <w:szCs w:val="18"/>
          <w:lang w:val="en-GB"/>
        </w:rPr>
        <w:t xml:space="preserve"> </w:t>
      </w:r>
      <w:r w:rsidR="00D67FD1" w:rsidRPr="006E7959">
        <w:rPr>
          <w:rFonts w:eastAsia="Times New Roman" w:cs="Arial"/>
          <w:sz w:val="18"/>
          <w:szCs w:val="18"/>
        </w:rPr>
        <w:t>to help in generalising results of RCTs to specific real-world settings or sub-populations</w:t>
      </w:r>
      <w:r w:rsidRPr="0029175B">
        <w:rPr>
          <w:sz w:val="18"/>
          <w:szCs w:val="18"/>
          <w:lang w:val="en-GB"/>
        </w:rPr>
        <w:t xml:space="preserve">. </w:t>
      </w:r>
    </w:p>
    <w:p w:rsidR="00CB6A7F" w:rsidRPr="0029175B" w:rsidRDefault="00D64049">
      <w:pPr>
        <w:rPr>
          <w:rFonts w:eastAsia="Calibri" w:cs="Verdana"/>
          <w:color w:val="000000"/>
          <w:lang w:eastAsia="en-US"/>
        </w:rPr>
      </w:pPr>
      <w:r w:rsidRPr="0029175B">
        <w:br w:type="page"/>
      </w:r>
    </w:p>
    <w:p w:rsidR="00AD4CBC" w:rsidRPr="008B040E" w:rsidRDefault="00D64049" w:rsidP="008B040E">
      <w:pPr>
        <w:pStyle w:val="Heading1Agency"/>
        <w:rPr>
          <w:rStyle w:val="Fett"/>
          <w:b/>
          <w:bCs/>
        </w:rPr>
      </w:pPr>
      <w:bookmarkStart w:id="83" w:name="_Toc528934925"/>
      <w:r w:rsidRPr="008B040E">
        <w:rPr>
          <w:rStyle w:val="Fett"/>
          <w:b/>
          <w:bCs/>
        </w:rPr>
        <w:lastRenderedPageBreak/>
        <w:t>Good registry practice</w:t>
      </w:r>
      <w:bookmarkEnd w:id="83"/>
    </w:p>
    <w:p w:rsidR="00AD4CBC" w:rsidRPr="008B040E" w:rsidRDefault="00D64049" w:rsidP="008B040E">
      <w:pPr>
        <w:pStyle w:val="Heading2Agency"/>
        <w:rPr>
          <w:rStyle w:val="Fett"/>
          <w:b/>
          <w:bCs/>
        </w:rPr>
      </w:pPr>
      <w:r w:rsidRPr="008B040E">
        <w:rPr>
          <w:rStyle w:val="Fett"/>
          <w:b/>
          <w:bCs/>
        </w:rPr>
        <w:t xml:space="preserve"> </w:t>
      </w:r>
      <w:bookmarkStart w:id="84" w:name="_Toc528934926"/>
      <w:r w:rsidRPr="008B040E">
        <w:rPr>
          <w:rStyle w:val="Fett"/>
          <w:b/>
          <w:bCs/>
        </w:rPr>
        <w:t>General consideration</w:t>
      </w:r>
      <w:bookmarkEnd w:id="84"/>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 xml:space="preserve">Some guidelines describe different designs for a registry, including the traditional case series, cohort, case-control or case-cohort designs. This reflects the misrepresentation of a registry as a study rather than a data collection system. This </w:t>
      </w:r>
      <w:r w:rsidR="00F050D5" w:rsidRPr="0029175B">
        <w:rPr>
          <w:rStyle w:val="Fett"/>
          <w:b w:val="0"/>
          <w:sz w:val="18"/>
          <w:szCs w:val="18"/>
          <w:lang w:val="en-GB"/>
        </w:rPr>
        <w:t>reflection paper</w:t>
      </w:r>
      <w:r w:rsidR="00CB6A7F" w:rsidRPr="0029175B">
        <w:rPr>
          <w:rStyle w:val="Fett"/>
          <w:b w:val="0"/>
          <w:sz w:val="18"/>
          <w:szCs w:val="18"/>
          <w:lang w:val="en-GB"/>
        </w:rPr>
        <w:t xml:space="preserve"> </w:t>
      </w:r>
      <w:r w:rsidRPr="0029175B">
        <w:rPr>
          <w:rStyle w:val="Fett"/>
          <w:b w:val="0"/>
          <w:sz w:val="18"/>
          <w:szCs w:val="18"/>
          <w:lang w:val="en-GB"/>
        </w:rPr>
        <w:t>establishes that a registry, as a system that collects data on patients followed-up over time, inherently leads to the creation of a cohort of patients that may be secondarily used to investigate a research question through different study designs. Therefore, registry designs will not be discussed.</w:t>
      </w:r>
    </w:p>
    <w:p w:rsidR="00AD4CBC" w:rsidRPr="008B040E" w:rsidRDefault="00D64049" w:rsidP="008B040E">
      <w:pPr>
        <w:pStyle w:val="Heading2Agency"/>
        <w:rPr>
          <w:rStyle w:val="Fett"/>
          <w:b/>
          <w:bCs/>
        </w:rPr>
      </w:pPr>
      <w:bookmarkStart w:id="85" w:name="_Toc528934927"/>
      <w:r w:rsidRPr="008B040E">
        <w:rPr>
          <w:rStyle w:val="Fett"/>
          <w:b/>
          <w:bCs/>
        </w:rPr>
        <w:t>Patient population</w:t>
      </w:r>
      <w:bookmarkEnd w:id="85"/>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Definition and </w:t>
      </w:r>
      <w:r w:rsidR="00676EA4">
        <w:rPr>
          <w:sz w:val="18"/>
          <w:szCs w:val="18"/>
          <w:lang w:val="en-GB"/>
        </w:rPr>
        <w:t>enrolment</w:t>
      </w:r>
      <w:r w:rsidR="00676EA4" w:rsidRPr="0029175B">
        <w:rPr>
          <w:sz w:val="18"/>
          <w:szCs w:val="18"/>
          <w:lang w:val="en-GB"/>
        </w:rPr>
        <w:t xml:space="preserve"> </w:t>
      </w:r>
      <w:r w:rsidRPr="0029175B">
        <w:rPr>
          <w:sz w:val="18"/>
          <w:szCs w:val="18"/>
          <w:lang w:val="en-GB"/>
        </w:rPr>
        <w:t xml:space="preserve">of the registry patient population requires close attention. Great care should be exercised to </w:t>
      </w:r>
      <w:r w:rsidR="007F5DA3">
        <w:rPr>
          <w:sz w:val="18"/>
          <w:szCs w:val="18"/>
          <w:lang w:val="en-GB"/>
        </w:rPr>
        <w:t xml:space="preserve">ensure a comprehensive </w:t>
      </w:r>
      <w:r w:rsidR="009C0768">
        <w:rPr>
          <w:sz w:val="18"/>
          <w:szCs w:val="18"/>
          <w:lang w:val="en-GB"/>
        </w:rPr>
        <w:t>enrolment</w:t>
      </w:r>
      <w:r w:rsidR="00676EA4">
        <w:rPr>
          <w:sz w:val="18"/>
          <w:szCs w:val="18"/>
          <w:lang w:val="en-GB"/>
        </w:rPr>
        <w:t xml:space="preserve"> </w:t>
      </w:r>
      <w:r w:rsidR="007F5DA3">
        <w:rPr>
          <w:sz w:val="18"/>
          <w:szCs w:val="18"/>
          <w:lang w:val="en-GB"/>
        </w:rPr>
        <w:t xml:space="preserve">of patients and </w:t>
      </w:r>
      <w:r w:rsidRPr="0029175B">
        <w:rPr>
          <w:sz w:val="18"/>
          <w:szCs w:val="18"/>
          <w:lang w:val="en-GB"/>
        </w:rPr>
        <w:t>avoid selection bias,</w:t>
      </w:r>
      <w:r w:rsidRPr="0029175B">
        <w:rPr>
          <w:lang w:val="en-GB"/>
        </w:rPr>
        <w:t xml:space="preserve"> </w:t>
      </w:r>
      <w:r w:rsidRPr="0029175B">
        <w:rPr>
          <w:sz w:val="18"/>
          <w:szCs w:val="18"/>
          <w:lang w:val="en-GB"/>
        </w:rPr>
        <w:t xml:space="preserve">i.e. the situation where </w:t>
      </w:r>
      <w:r w:rsidR="009C0768">
        <w:rPr>
          <w:sz w:val="18"/>
          <w:szCs w:val="18"/>
          <w:lang w:val="en-GB"/>
        </w:rPr>
        <w:t>enrolment</w:t>
      </w:r>
      <w:r w:rsidR="009C0768" w:rsidRPr="0029175B">
        <w:rPr>
          <w:sz w:val="18"/>
          <w:szCs w:val="18"/>
          <w:lang w:val="en-GB"/>
        </w:rPr>
        <w:t xml:space="preserve"> </w:t>
      </w:r>
      <w:r w:rsidRPr="0029175B">
        <w:rPr>
          <w:sz w:val="18"/>
          <w:szCs w:val="18"/>
          <w:lang w:val="en-GB"/>
        </w:rPr>
        <w:t xml:space="preserve">is influenced by patient characteristics that may affect the validity of the analyses. Registries are </w:t>
      </w:r>
      <w:r w:rsidR="00E23A40" w:rsidRPr="0029175B">
        <w:rPr>
          <w:sz w:val="18"/>
          <w:szCs w:val="18"/>
          <w:lang w:val="en-GB"/>
        </w:rPr>
        <w:t>prone to</w:t>
      </w:r>
      <w:r w:rsidRPr="0029175B">
        <w:rPr>
          <w:sz w:val="18"/>
          <w:szCs w:val="18"/>
          <w:lang w:val="en-GB"/>
        </w:rPr>
        <w:t xml:space="preserve"> selection bias because </w:t>
      </w:r>
      <w:r w:rsidR="007851F4" w:rsidRPr="0029175B">
        <w:rPr>
          <w:sz w:val="18"/>
          <w:szCs w:val="18"/>
          <w:lang w:val="en-GB"/>
        </w:rPr>
        <w:t xml:space="preserve">numerous </w:t>
      </w:r>
      <w:r w:rsidRPr="0029175B">
        <w:rPr>
          <w:sz w:val="18"/>
          <w:szCs w:val="18"/>
          <w:lang w:val="en-GB"/>
        </w:rPr>
        <w:t xml:space="preserve">factors </w:t>
      </w:r>
      <w:r w:rsidR="007851F4" w:rsidRPr="0029175B">
        <w:rPr>
          <w:sz w:val="18"/>
          <w:szCs w:val="18"/>
          <w:lang w:val="en-GB"/>
        </w:rPr>
        <w:t xml:space="preserve">may </w:t>
      </w:r>
      <w:r w:rsidRPr="0029175B">
        <w:rPr>
          <w:sz w:val="18"/>
          <w:szCs w:val="18"/>
          <w:lang w:val="en-GB"/>
        </w:rPr>
        <w:t xml:space="preserve">influence the </w:t>
      </w:r>
      <w:r w:rsidR="00353A57">
        <w:rPr>
          <w:sz w:val="18"/>
          <w:szCs w:val="18"/>
          <w:lang w:val="en-GB"/>
        </w:rPr>
        <w:t>enrolment</w:t>
      </w:r>
      <w:r w:rsidR="00353A57" w:rsidRPr="0029175B">
        <w:rPr>
          <w:sz w:val="18"/>
          <w:szCs w:val="18"/>
          <w:lang w:val="en-GB"/>
        </w:rPr>
        <w:t xml:space="preserve"> </w:t>
      </w:r>
      <w:r w:rsidRPr="0029175B">
        <w:rPr>
          <w:sz w:val="18"/>
          <w:szCs w:val="18"/>
          <w:lang w:val="en-GB"/>
        </w:rPr>
        <w:t xml:space="preserve">of patients in a registry (including clinical, demographic and socio-economic factors) and </w:t>
      </w:r>
      <w:r w:rsidR="007851F4" w:rsidRPr="0029175B">
        <w:rPr>
          <w:sz w:val="18"/>
          <w:szCs w:val="18"/>
          <w:lang w:val="en-GB"/>
        </w:rPr>
        <w:t>may be difficult to identify in advance and prevent</w:t>
      </w:r>
      <w:r w:rsidR="006D6828" w:rsidRPr="0029175B">
        <w:rPr>
          <w:sz w:val="18"/>
          <w:szCs w:val="18"/>
          <w:lang w:val="en-GB"/>
        </w:rPr>
        <w:t xml:space="preserve">. </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The following steps need to be considered in the </w:t>
      </w:r>
      <w:r w:rsidR="008732DA" w:rsidRPr="0029175B">
        <w:rPr>
          <w:sz w:val="18"/>
          <w:szCs w:val="18"/>
          <w:lang w:val="en-GB"/>
        </w:rPr>
        <w:t xml:space="preserve">definition and </w:t>
      </w:r>
      <w:r w:rsidR="009C0768">
        <w:rPr>
          <w:sz w:val="18"/>
          <w:szCs w:val="18"/>
          <w:lang w:val="en-GB"/>
        </w:rPr>
        <w:t>enrolment</w:t>
      </w:r>
      <w:r w:rsidR="009C0768" w:rsidRPr="0029175B">
        <w:rPr>
          <w:sz w:val="18"/>
          <w:szCs w:val="18"/>
          <w:lang w:val="en-GB"/>
        </w:rPr>
        <w:t xml:space="preserve"> </w:t>
      </w:r>
      <w:r w:rsidR="00F760E1" w:rsidRPr="0029175B">
        <w:rPr>
          <w:sz w:val="18"/>
          <w:szCs w:val="18"/>
          <w:lang w:val="en-GB"/>
        </w:rPr>
        <w:t>of</w:t>
      </w:r>
      <w:r w:rsidRPr="0029175B">
        <w:rPr>
          <w:sz w:val="18"/>
          <w:szCs w:val="18"/>
          <w:lang w:val="en-GB"/>
        </w:rPr>
        <w:t xml:space="preserve"> a registry</w:t>
      </w:r>
      <w:r w:rsidR="00F760E1" w:rsidRPr="0029175B">
        <w:rPr>
          <w:sz w:val="18"/>
          <w:szCs w:val="18"/>
          <w:lang w:val="en-GB"/>
        </w:rPr>
        <w:t xml:space="preserve"> population</w:t>
      </w:r>
      <w:r w:rsidR="004938AB" w:rsidRPr="0029175B">
        <w:rPr>
          <w:sz w:val="18"/>
          <w:szCs w:val="18"/>
          <w:lang w:val="en-GB"/>
        </w:rPr>
        <w:t>.</w:t>
      </w:r>
    </w:p>
    <w:p w:rsidR="00AD4CBC" w:rsidRPr="0029175B" w:rsidRDefault="00D64049" w:rsidP="008732DA">
      <w:pPr>
        <w:pStyle w:val="Default"/>
        <w:numPr>
          <w:ilvl w:val="0"/>
          <w:numId w:val="9"/>
        </w:numPr>
        <w:spacing w:after="140" w:line="280" w:lineRule="exact"/>
        <w:rPr>
          <w:sz w:val="18"/>
          <w:szCs w:val="18"/>
          <w:lang w:val="en-GB"/>
        </w:rPr>
      </w:pPr>
      <w:r w:rsidRPr="0029175B">
        <w:rPr>
          <w:sz w:val="18"/>
          <w:szCs w:val="18"/>
          <w:lang w:val="en-GB"/>
        </w:rPr>
        <w:t>The first step is to d</w:t>
      </w:r>
      <w:r w:rsidR="00950368" w:rsidRPr="0029175B">
        <w:rPr>
          <w:sz w:val="18"/>
          <w:szCs w:val="18"/>
          <w:lang w:val="en-GB"/>
        </w:rPr>
        <w:t xml:space="preserve">evelop a clear conceptual definition of the target population </w:t>
      </w:r>
      <w:r w:rsidR="00326C13" w:rsidRPr="0029175B">
        <w:rPr>
          <w:sz w:val="18"/>
          <w:szCs w:val="18"/>
          <w:lang w:val="en-GB"/>
        </w:rPr>
        <w:t>i.</w:t>
      </w:r>
      <w:r w:rsidR="008732DA" w:rsidRPr="0029175B">
        <w:rPr>
          <w:sz w:val="18"/>
          <w:szCs w:val="18"/>
          <w:lang w:val="en-GB"/>
        </w:rPr>
        <w:t>e</w:t>
      </w:r>
      <w:r w:rsidR="00326C13" w:rsidRPr="0029175B">
        <w:rPr>
          <w:sz w:val="18"/>
          <w:szCs w:val="18"/>
          <w:lang w:val="en-GB"/>
        </w:rPr>
        <w:t>.</w:t>
      </w:r>
      <w:r w:rsidR="008732DA" w:rsidRPr="0029175B">
        <w:rPr>
          <w:sz w:val="18"/>
          <w:szCs w:val="18"/>
          <w:lang w:val="en-GB"/>
        </w:rPr>
        <w:t xml:space="preserve"> the patients who would benefit from the information </w:t>
      </w:r>
      <w:r w:rsidR="00326C13" w:rsidRPr="0029175B">
        <w:rPr>
          <w:sz w:val="18"/>
          <w:szCs w:val="18"/>
          <w:lang w:val="en-GB"/>
        </w:rPr>
        <w:t>recorded</w:t>
      </w:r>
      <w:r w:rsidR="008732DA" w:rsidRPr="0029175B">
        <w:rPr>
          <w:sz w:val="18"/>
          <w:szCs w:val="18"/>
          <w:lang w:val="en-GB"/>
        </w:rPr>
        <w:t xml:space="preserve"> from the registry and </w:t>
      </w:r>
      <w:r w:rsidR="00326C13" w:rsidRPr="0029175B">
        <w:rPr>
          <w:sz w:val="18"/>
          <w:szCs w:val="18"/>
          <w:lang w:val="en-GB"/>
        </w:rPr>
        <w:t>from the</w:t>
      </w:r>
      <w:r w:rsidR="00950368" w:rsidRPr="0029175B">
        <w:rPr>
          <w:sz w:val="18"/>
          <w:szCs w:val="18"/>
          <w:lang w:val="en-GB"/>
        </w:rPr>
        <w:t xml:space="preserve"> analysis of registry data.</w:t>
      </w:r>
      <w:r w:rsidR="004938AB" w:rsidRPr="0029175B">
        <w:rPr>
          <w:sz w:val="18"/>
          <w:szCs w:val="18"/>
          <w:lang w:val="en-GB"/>
        </w:rPr>
        <w:t xml:space="preserve"> </w:t>
      </w:r>
      <w:r w:rsidRPr="0029175B">
        <w:rPr>
          <w:sz w:val="18"/>
          <w:szCs w:val="18"/>
          <w:lang w:val="en-GB"/>
        </w:rPr>
        <w:t>This</w:t>
      </w:r>
      <w:r w:rsidR="00950368" w:rsidRPr="0029175B">
        <w:rPr>
          <w:sz w:val="18"/>
          <w:szCs w:val="18"/>
          <w:lang w:val="en-GB"/>
        </w:rPr>
        <w:t xml:space="preserve"> definition should consider the main purpose </w:t>
      </w:r>
      <w:r w:rsidRPr="0029175B">
        <w:rPr>
          <w:sz w:val="18"/>
          <w:szCs w:val="18"/>
          <w:lang w:val="en-GB"/>
        </w:rPr>
        <w:t>of</w:t>
      </w:r>
      <w:r w:rsidR="00950368" w:rsidRPr="0029175B">
        <w:rPr>
          <w:sz w:val="18"/>
          <w:szCs w:val="18"/>
          <w:lang w:val="en-GB"/>
        </w:rPr>
        <w:t xml:space="preserve"> the registry</w:t>
      </w:r>
      <w:r w:rsidR="004938AB" w:rsidRPr="0029175B">
        <w:rPr>
          <w:sz w:val="18"/>
          <w:szCs w:val="18"/>
          <w:lang w:val="en-GB"/>
        </w:rPr>
        <w:t xml:space="preserve">, </w:t>
      </w:r>
      <w:r w:rsidRPr="0029175B">
        <w:rPr>
          <w:sz w:val="18"/>
          <w:szCs w:val="18"/>
          <w:lang w:val="en-GB"/>
        </w:rPr>
        <w:t>for examples</w:t>
      </w:r>
      <w:r w:rsidR="004938AB" w:rsidRPr="0029175B">
        <w:rPr>
          <w:sz w:val="18"/>
          <w:szCs w:val="18"/>
          <w:lang w:val="en-GB"/>
        </w:rPr>
        <w:t xml:space="preserve"> clinical monitoring of disease, follow-up of treatment effects or another purpose</w:t>
      </w:r>
      <w:r w:rsidR="00523D4B">
        <w:rPr>
          <w:sz w:val="18"/>
          <w:szCs w:val="18"/>
          <w:lang w:val="en-GB"/>
        </w:rPr>
        <w:t>.</w:t>
      </w:r>
      <w:r w:rsidR="00950368" w:rsidRPr="0029175B">
        <w:rPr>
          <w:sz w:val="18"/>
          <w:szCs w:val="18"/>
          <w:lang w:val="en-GB"/>
        </w:rPr>
        <w:t xml:space="preserve"> This is an important step that needs in-depth consideration and consultation of </w:t>
      </w:r>
      <w:r w:rsidR="0021580F" w:rsidRPr="0029175B">
        <w:rPr>
          <w:sz w:val="18"/>
          <w:szCs w:val="18"/>
          <w:lang w:val="en-GB"/>
        </w:rPr>
        <w:t>specialists and patients</w:t>
      </w:r>
      <w:r w:rsidR="00950368" w:rsidRPr="0029175B">
        <w:rPr>
          <w:sz w:val="18"/>
          <w:szCs w:val="18"/>
          <w:lang w:val="en-GB"/>
        </w:rPr>
        <w:t xml:space="preserve"> </w:t>
      </w:r>
      <w:r w:rsidR="00523D4B">
        <w:rPr>
          <w:sz w:val="18"/>
          <w:szCs w:val="18"/>
          <w:lang w:val="en-GB"/>
        </w:rPr>
        <w:t>concerned</w:t>
      </w:r>
      <w:r w:rsidR="00950368" w:rsidRPr="0029175B">
        <w:rPr>
          <w:sz w:val="18"/>
          <w:szCs w:val="18"/>
          <w:lang w:val="en-GB"/>
        </w:rPr>
        <w:t>.</w:t>
      </w:r>
    </w:p>
    <w:p w:rsidR="00AD4CBC" w:rsidRPr="0029175B" w:rsidRDefault="00D64049" w:rsidP="00AD4CBC">
      <w:pPr>
        <w:pStyle w:val="Default"/>
        <w:numPr>
          <w:ilvl w:val="0"/>
          <w:numId w:val="9"/>
        </w:numPr>
        <w:spacing w:after="140" w:line="280" w:lineRule="exact"/>
        <w:rPr>
          <w:sz w:val="18"/>
          <w:szCs w:val="18"/>
          <w:lang w:val="en-GB"/>
        </w:rPr>
      </w:pPr>
      <w:r w:rsidRPr="0029175B">
        <w:rPr>
          <w:sz w:val="18"/>
          <w:szCs w:val="18"/>
          <w:lang w:val="en-GB"/>
        </w:rPr>
        <w:t>The second step is to t</w:t>
      </w:r>
      <w:r w:rsidR="00950368" w:rsidRPr="0029175B">
        <w:rPr>
          <w:sz w:val="18"/>
          <w:szCs w:val="18"/>
          <w:lang w:val="en-GB"/>
        </w:rPr>
        <w:t>ranslate th</w:t>
      </w:r>
      <w:r w:rsidR="00326C13" w:rsidRPr="0029175B">
        <w:rPr>
          <w:sz w:val="18"/>
          <w:szCs w:val="18"/>
          <w:lang w:val="en-GB"/>
        </w:rPr>
        <w:t>e</w:t>
      </w:r>
      <w:r w:rsidR="00950368" w:rsidRPr="0029175B">
        <w:rPr>
          <w:sz w:val="18"/>
          <w:szCs w:val="18"/>
          <w:lang w:val="en-GB"/>
        </w:rPr>
        <w:t xml:space="preserve"> conceptual definition into an operational definition, for example all patients diagnosed with </w:t>
      </w:r>
      <w:r w:rsidR="002B4013">
        <w:rPr>
          <w:sz w:val="18"/>
          <w:szCs w:val="18"/>
          <w:lang w:val="en-GB"/>
        </w:rPr>
        <w:t xml:space="preserve">a certain </w:t>
      </w:r>
      <w:r w:rsidR="00950368" w:rsidRPr="0029175B">
        <w:rPr>
          <w:sz w:val="18"/>
          <w:szCs w:val="18"/>
          <w:lang w:val="en-GB"/>
        </w:rPr>
        <w:t>disease by a hospital specialist. It may include exclusion criteria whose rationale should be justified and documented.</w:t>
      </w:r>
    </w:p>
    <w:p w:rsidR="00AD4CBC" w:rsidRPr="0029175B" w:rsidRDefault="00D64049" w:rsidP="0021580F">
      <w:pPr>
        <w:pStyle w:val="Default"/>
        <w:numPr>
          <w:ilvl w:val="0"/>
          <w:numId w:val="9"/>
        </w:numPr>
        <w:spacing w:after="140" w:line="280" w:lineRule="exact"/>
        <w:rPr>
          <w:sz w:val="18"/>
          <w:szCs w:val="18"/>
          <w:lang w:val="en-GB"/>
        </w:rPr>
      </w:pPr>
      <w:r w:rsidRPr="0029175B">
        <w:rPr>
          <w:sz w:val="18"/>
          <w:szCs w:val="18"/>
          <w:lang w:val="en-GB"/>
        </w:rPr>
        <w:t>The third step is to p</w:t>
      </w:r>
      <w:r w:rsidR="00950368" w:rsidRPr="0029175B">
        <w:rPr>
          <w:sz w:val="18"/>
          <w:szCs w:val="18"/>
          <w:lang w:val="en-GB"/>
        </w:rPr>
        <w:t xml:space="preserve">ut in place a process whereby the patients </w:t>
      </w:r>
      <w:r w:rsidR="00353A57">
        <w:rPr>
          <w:sz w:val="18"/>
          <w:szCs w:val="18"/>
          <w:lang w:val="en-GB"/>
        </w:rPr>
        <w:t>enrolled</w:t>
      </w:r>
      <w:r w:rsidR="00353A57" w:rsidRPr="0029175B">
        <w:rPr>
          <w:sz w:val="18"/>
          <w:szCs w:val="18"/>
          <w:lang w:val="en-GB"/>
        </w:rPr>
        <w:t xml:space="preserve"> </w:t>
      </w:r>
      <w:r w:rsidR="00950368" w:rsidRPr="0029175B">
        <w:rPr>
          <w:sz w:val="18"/>
          <w:szCs w:val="18"/>
          <w:lang w:val="en-GB"/>
        </w:rPr>
        <w:t xml:space="preserve">in the registry would be representative of this operational definition. The best method to achieve this is to ensure an exhaustive </w:t>
      </w:r>
      <w:r w:rsidR="00353A57">
        <w:rPr>
          <w:sz w:val="18"/>
          <w:szCs w:val="18"/>
          <w:lang w:val="en-GB"/>
        </w:rPr>
        <w:t>enrolment</w:t>
      </w:r>
      <w:r w:rsidR="00353A57" w:rsidRPr="0029175B">
        <w:rPr>
          <w:sz w:val="18"/>
          <w:szCs w:val="18"/>
          <w:lang w:val="en-GB"/>
        </w:rPr>
        <w:t xml:space="preserve"> </w:t>
      </w:r>
      <w:r w:rsidR="00950368" w:rsidRPr="0029175B">
        <w:rPr>
          <w:sz w:val="18"/>
          <w:szCs w:val="18"/>
          <w:lang w:val="en-GB"/>
        </w:rPr>
        <w:t>of all eligible patients fulfilling the</w:t>
      </w:r>
      <w:r w:rsidRPr="0029175B">
        <w:rPr>
          <w:sz w:val="18"/>
          <w:szCs w:val="18"/>
          <w:lang w:val="en-GB"/>
        </w:rPr>
        <w:t xml:space="preserve"> operational</w:t>
      </w:r>
      <w:r w:rsidR="00950368" w:rsidRPr="0029175B">
        <w:rPr>
          <w:sz w:val="18"/>
          <w:szCs w:val="18"/>
          <w:lang w:val="en-GB"/>
        </w:rPr>
        <w:t xml:space="preserve"> definition. </w:t>
      </w:r>
    </w:p>
    <w:p w:rsidR="00AD4CBC" w:rsidRPr="0029175B" w:rsidRDefault="00D64049" w:rsidP="00AD4CBC">
      <w:pPr>
        <w:pStyle w:val="Default"/>
        <w:numPr>
          <w:ilvl w:val="0"/>
          <w:numId w:val="9"/>
        </w:numPr>
        <w:spacing w:after="140" w:line="280" w:lineRule="exact"/>
        <w:rPr>
          <w:sz w:val="18"/>
          <w:szCs w:val="18"/>
          <w:lang w:val="en-GB"/>
        </w:rPr>
      </w:pPr>
      <w:r w:rsidRPr="0029175B">
        <w:rPr>
          <w:sz w:val="18"/>
          <w:szCs w:val="18"/>
          <w:lang w:val="en-GB"/>
        </w:rPr>
        <w:t>The fourth step is to e</w:t>
      </w:r>
      <w:r w:rsidR="00950368" w:rsidRPr="0029175B">
        <w:rPr>
          <w:sz w:val="18"/>
          <w:szCs w:val="18"/>
          <w:lang w:val="en-GB"/>
        </w:rPr>
        <w:t xml:space="preserve">nsure complete follow-up of </w:t>
      </w:r>
      <w:r w:rsidR="00353A57">
        <w:rPr>
          <w:sz w:val="18"/>
          <w:szCs w:val="18"/>
          <w:lang w:val="en-GB"/>
        </w:rPr>
        <w:t>enrolled</w:t>
      </w:r>
      <w:r w:rsidR="00353A57" w:rsidRPr="0029175B">
        <w:rPr>
          <w:sz w:val="18"/>
          <w:szCs w:val="18"/>
          <w:lang w:val="en-GB"/>
        </w:rPr>
        <w:t xml:space="preserve"> </w:t>
      </w:r>
      <w:r w:rsidR="00950368" w:rsidRPr="0029175B">
        <w:rPr>
          <w:sz w:val="18"/>
          <w:szCs w:val="18"/>
          <w:lang w:val="en-GB"/>
        </w:rPr>
        <w:t xml:space="preserve">patients and completeness of information collected on each </w:t>
      </w:r>
      <w:r w:rsidRPr="0029175B">
        <w:rPr>
          <w:sz w:val="18"/>
          <w:szCs w:val="18"/>
          <w:lang w:val="en-GB"/>
        </w:rPr>
        <w:t>of them</w:t>
      </w:r>
      <w:r w:rsidR="00950368" w:rsidRPr="0029175B">
        <w:rPr>
          <w:sz w:val="18"/>
          <w:szCs w:val="18"/>
          <w:lang w:val="en-GB"/>
        </w:rPr>
        <w:t xml:space="preserve"> to allow accounting for confounding factors and investigation of effect modifiers.</w:t>
      </w:r>
    </w:p>
    <w:p w:rsidR="0021580F" w:rsidRPr="0029175B" w:rsidRDefault="00D64049" w:rsidP="0021580F">
      <w:pPr>
        <w:pStyle w:val="Default"/>
        <w:spacing w:after="140" w:line="280" w:lineRule="exact"/>
        <w:rPr>
          <w:sz w:val="18"/>
          <w:szCs w:val="18"/>
          <w:lang w:val="en-GB"/>
        </w:rPr>
      </w:pPr>
      <w:r w:rsidRPr="0029175B">
        <w:rPr>
          <w:sz w:val="18"/>
          <w:szCs w:val="18"/>
          <w:lang w:val="en-GB"/>
        </w:rPr>
        <w:t xml:space="preserve">A good </w:t>
      </w:r>
      <w:r w:rsidR="00353A57">
        <w:rPr>
          <w:sz w:val="18"/>
          <w:szCs w:val="18"/>
          <w:lang w:val="en-GB"/>
        </w:rPr>
        <w:t>enrolment</w:t>
      </w:r>
      <w:r w:rsidR="00353A57" w:rsidRPr="0029175B">
        <w:rPr>
          <w:sz w:val="18"/>
          <w:szCs w:val="18"/>
          <w:lang w:val="en-GB"/>
        </w:rPr>
        <w:t xml:space="preserve"> </w:t>
      </w:r>
      <w:r w:rsidRPr="0029175B">
        <w:rPr>
          <w:sz w:val="18"/>
          <w:szCs w:val="18"/>
          <w:lang w:val="en-GB"/>
        </w:rPr>
        <w:t xml:space="preserve">may generally be achieved for rare diseases but this is more difficult for more common diseases </w:t>
      </w:r>
      <w:r w:rsidR="006D6828" w:rsidRPr="0029175B">
        <w:rPr>
          <w:sz w:val="18"/>
          <w:szCs w:val="18"/>
          <w:lang w:val="en-GB"/>
        </w:rPr>
        <w:t xml:space="preserve">that </w:t>
      </w:r>
      <w:r w:rsidR="00835AC0" w:rsidRPr="0029175B">
        <w:rPr>
          <w:sz w:val="18"/>
          <w:szCs w:val="18"/>
          <w:lang w:val="en-GB"/>
        </w:rPr>
        <w:t xml:space="preserve">may </w:t>
      </w:r>
      <w:r w:rsidR="006D6828" w:rsidRPr="0029175B">
        <w:rPr>
          <w:sz w:val="18"/>
          <w:szCs w:val="18"/>
          <w:lang w:val="en-GB"/>
        </w:rPr>
        <w:t xml:space="preserve">require </w:t>
      </w:r>
      <w:r w:rsidR="00835AC0" w:rsidRPr="0029175B">
        <w:rPr>
          <w:sz w:val="18"/>
          <w:szCs w:val="18"/>
          <w:lang w:val="en-GB"/>
        </w:rPr>
        <w:t>more time and resources to collect data</w:t>
      </w:r>
      <w:r w:rsidRPr="0029175B">
        <w:rPr>
          <w:sz w:val="18"/>
          <w:szCs w:val="18"/>
          <w:lang w:val="en-GB"/>
        </w:rPr>
        <w:t xml:space="preserve"> and </w:t>
      </w:r>
      <w:r w:rsidR="00835AC0" w:rsidRPr="0029175B">
        <w:rPr>
          <w:sz w:val="18"/>
          <w:szCs w:val="18"/>
          <w:lang w:val="en-GB"/>
        </w:rPr>
        <w:t>elicit informed consent from a large number of patients</w:t>
      </w:r>
      <w:r w:rsidRPr="0029175B">
        <w:rPr>
          <w:sz w:val="18"/>
          <w:szCs w:val="18"/>
          <w:lang w:val="en-GB"/>
        </w:rPr>
        <w:t xml:space="preserve">. As traditional sampling methods are difficult to implement in </w:t>
      </w:r>
      <w:r w:rsidR="002726BC" w:rsidRPr="0029175B">
        <w:rPr>
          <w:sz w:val="18"/>
          <w:szCs w:val="18"/>
          <w:lang w:val="en-GB"/>
        </w:rPr>
        <w:t>routine</w:t>
      </w:r>
      <w:r w:rsidR="001379DB" w:rsidRPr="0029175B">
        <w:rPr>
          <w:sz w:val="18"/>
          <w:szCs w:val="18"/>
          <w:lang w:val="en-GB"/>
        </w:rPr>
        <w:t xml:space="preserve"> clinical practice, a</w:t>
      </w:r>
      <w:r w:rsidRPr="0029175B">
        <w:rPr>
          <w:sz w:val="18"/>
          <w:szCs w:val="18"/>
          <w:lang w:val="en-GB"/>
        </w:rPr>
        <w:t xml:space="preserve">nticipation of a </w:t>
      </w:r>
      <w:r w:rsidR="001379DB" w:rsidRPr="0029175B">
        <w:rPr>
          <w:sz w:val="18"/>
          <w:szCs w:val="18"/>
          <w:lang w:val="en-GB"/>
        </w:rPr>
        <w:t xml:space="preserve">non-exhaustive </w:t>
      </w:r>
      <w:r w:rsidR="00676EA4">
        <w:rPr>
          <w:sz w:val="18"/>
          <w:szCs w:val="18"/>
          <w:lang w:val="en-GB"/>
        </w:rPr>
        <w:t>enrolment</w:t>
      </w:r>
      <w:r w:rsidR="00676EA4" w:rsidRPr="0029175B">
        <w:rPr>
          <w:sz w:val="18"/>
          <w:szCs w:val="18"/>
          <w:lang w:val="en-GB"/>
        </w:rPr>
        <w:t xml:space="preserve"> </w:t>
      </w:r>
      <w:r w:rsidR="001379DB" w:rsidRPr="0029175B">
        <w:rPr>
          <w:sz w:val="18"/>
          <w:szCs w:val="18"/>
          <w:lang w:val="en-GB"/>
        </w:rPr>
        <w:t>may require solutions</w:t>
      </w:r>
      <w:r w:rsidR="004A612C" w:rsidRPr="0029175B">
        <w:rPr>
          <w:sz w:val="18"/>
          <w:szCs w:val="18"/>
          <w:lang w:val="en-GB"/>
        </w:rPr>
        <w:t xml:space="preserve"> such as</w:t>
      </w:r>
      <w:r w:rsidRPr="0029175B">
        <w:rPr>
          <w:sz w:val="18"/>
          <w:szCs w:val="18"/>
          <w:lang w:val="en-GB"/>
        </w:rPr>
        <w:t>:</w:t>
      </w:r>
    </w:p>
    <w:p w:rsidR="0021580F" w:rsidRPr="0029175B" w:rsidRDefault="00D64049" w:rsidP="001379DB">
      <w:pPr>
        <w:pStyle w:val="Default"/>
        <w:spacing w:after="140" w:line="280" w:lineRule="exact"/>
        <w:ind w:left="426" w:hanging="426"/>
        <w:rPr>
          <w:sz w:val="18"/>
          <w:szCs w:val="18"/>
          <w:lang w:val="en-GB"/>
        </w:rPr>
      </w:pPr>
      <w:r w:rsidRPr="0029175B">
        <w:rPr>
          <w:sz w:val="18"/>
          <w:szCs w:val="18"/>
          <w:lang w:val="en-GB"/>
        </w:rPr>
        <w:t>•</w:t>
      </w:r>
      <w:r w:rsidRPr="0029175B">
        <w:rPr>
          <w:sz w:val="18"/>
          <w:szCs w:val="18"/>
          <w:lang w:val="en-GB"/>
        </w:rPr>
        <w:tab/>
        <w:t>adoption of narrower conceptual and operational definitions to select patients who would best benefit from registry follow-up based on disease severity or other relevant criteri</w:t>
      </w:r>
      <w:r w:rsidR="001379DB" w:rsidRPr="0029175B">
        <w:rPr>
          <w:sz w:val="18"/>
          <w:szCs w:val="18"/>
          <w:lang w:val="en-GB"/>
        </w:rPr>
        <w:t xml:space="preserve">a;  </w:t>
      </w:r>
    </w:p>
    <w:p w:rsidR="00183DCA" w:rsidRPr="0029175B" w:rsidRDefault="00D64049" w:rsidP="001379DB">
      <w:pPr>
        <w:pStyle w:val="Default"/>
        <w:spacing w:after="140" w:line="280" w:lineRule="exact"/>
        <w:ind w:left="426" w:hanging="426"/>
        <w:rPr>
          <w:sz w:val="18"/>
          <w:szCs w:val="18"/>
          <w:lang w:val="en-GB"/>
        </w:rPr>
      </w:pPr>
      <w:r w:rsidRPr="0029175B">
        <w:rPr>
          <w:sz w:val="18"/>
          <w:szCs w:val="18"/>
          <w:lang w:val="en-GB"/>
        </w:rPr>
        <w:t>•</w:t>
      </w:r>
      <w:r w:rsidRPr="0029175B">
        <w:rPr>
          <w:sz w:val="18"/>
          <w:szCs w:val="18"/>
          <w:lang w:val="en-GB"/>
        </w:rPr>
        <w:tab/>
        <w:t>collection of minimum information at baseline on all patients</w:t>
      </w:r>
      <w:r w:rsidR="000F2BDA" w:rsidRPr="0029175B">
        <w:rPr>
          <w:sz w:val="18"/>
          <w:szCs w:val="18"/>
          <w:lang w:val="en-GB"/>
        </w:rPr>
        <w:t xml:space="preserve"> meeting the operational definition</w:t>
      </w:r>
      <w:r w:rsidRPr="0029175B">
        <w:rPr>
          <w:sz w:val="18"/>
          <w:szCs w:val="18"/>
          <w:lang w:val="en-GB"/>
        </w:rPr>
        <w:t xml:space="preserve"> </w:t>
      </w:r>
      <w:r w:rsidR="000F2BDA" w:rsidRPr="0029175B">
        <w:rPr>
          <w:sz w:val="18"/>
          <w:szCs w:val="18"/>
          <w:lang w:val="en-GB"/>
        </w:rPr>
        <w:t xml:space="preserve">in order to </w:t>
      </w:r>
      <w:r w:rsidRPr="0029175B">
        <w:rPr>
          <w:sz w:val="18"/>
          <w:szCs w:val="18"/>
          <w:lang w:val="en-GB"/>
        </w:rPr>
        <w:t>compare characteristics of the</w:t>
      </w:r>
      <w:r w:rsidR="000F2BDA" w:rsidRPr="0029175B">
        <w:rPr>
          <w:sz w:val="18"/>
          <w:szCs w:val="18"/>
          <w:lang w:val="en-GB"/>
        </w:rPr>
        <w:t xml:space="preserve"> actual</w:t>
      </w:r>
      <w:r w:rsidRPr="0029175B">
        <w:rPr>
          <w:sz w:val="18"/>
          <w:szCs w:val="18"/>
          <w:lang w:val="en-GB"/>
        </w:rPr>
        <w:t xml:space="preserve"> registry population </w:t>
      </w:r>
      <w:r w:rsidR="000F2BDA" w:rsidRPr="0029175B">
        <w:rPr>
          <w:sz w:val="18"/>
          <w:szCs w:val="18"/>
          <w:lang w:val="en-GB"/>
        </w:rPr>
        <w:t>with those of</w:t>
      </w:r>
      <w:r w:rsidRPr="0029175B">
        <w:rPr>
          <w:sz w:val="18"/>
          <w:szCs w:val="18"/>
          <w:lang w:val="en-GB"/>
        </w:rPr>
        <w:t xml:space="preserve"> the target population in the region or country; this information may possibly include: age and sex, indicator of socio-economic status (such as educational level), severity of disease or current treatment for the disease; </w:t>
      </w:r>
    </w:p>
    <w:p w:rsidR="0021580F" w:rsidRPr="0029175B" w:rsidRDefault="00D64049" w:rsidP="00183DCA">
      <w:pPr>
        <w:pStyle w:val="Default"/>
        <w:numPr>
          <w:ilvl w:val="0"/>
          <w:numId w:val="28"/>
        </w:numPr>
        <w:spacing w:after="140" w:line="280" w:lineRule="exact"/>
        <w:rPr>
          <w:sz w:val="18"/>
          <w:szCs w:val="18"/>
          <w:lang w:val="en-GB"/>
        </w:rPr>
      </w:pPr>
      <w:r w:rsidRPr="0029175B">
        <w:rPr>
          <w:sz w:val="18"/>
          <w:szCs w:val="18"/>
          <w:lang w:val="en-GB"/>
        </w:rPr>
        <w:lastRenderedPageBreak/>
        <w:t xml:space="preserve">benchmarking of the </w:t>
      </w:r>
      <w:r w:rsidR="005D0067" w:rsidRPr="0029175B">
        <w:rPr>
          <w:sz w:val="18"/>
          <w:szCs w:val="18"/>
          <w:lang w:val="en-GB"/>
        </w:rPr>
        <w:t xml:space="preserve">actual </w:t>
      </w:r>
      <w:r w:rsidRPr="0029175B">
        <w:rPr>
          <w:sz w:val="18"/>
          <w:szCs w:val="18"/>
          <w:lang w:val="en-GB"/>
        </w:rPr>
        <w:t xml:space="preserve">registry population in comparison with another data source </w:t>
      </w:r>
      <w:r w:rsidR="00183DCA" w:rsidRPr="0029175B">
        <w:rPr>
          <w:sz w:val="18"/>
          <w:szCs w:val="18"/>
          <w:lang w:val="en-GB"/>
        </w:rPr>
        <w:t xml:space="preserve">covering the same population </w:t>
      </w:r>
      <w:r w:rsidR="005D0067" w:rsidRPr="0029175B">
        <w:rPr>
          <w:sz w:val="18"/>
          <w:szCs w:val="18"/>
          <w:lang w:val="en-GB"/>
        </w:rPr>
        <w:t xml:space="preserve">(e.g. electronic health care records) </w:t>
      </w:r>
      <w:r w:rsidRPr="0029175B">
        <w:rPr>
          <w:sz w:val="18"/>
          <w:szCs w:val="18"/>
          <w:lang w:val="en-GB"/>
        </w:rPr>
        <w:t>allow</w:t>
      </w:r>
      <w:r w:rsidR="00144771" w:rsidRPr="0029175B">
        <w:rPr>
          <w:sz w:val="18"/>
          <w:szCs w:val="18"/>
          <w:lang w:val="en-GB"/>
        </w:rPr>
        <w:t>ing</w:t>
      </w:r>
      <w:r w:rsidRPr="0029175B">
        <w:rPr>
          <w:sz w:val="18"/>
          <w:szCs w:val="18"/>
          <w:lang w:val="en-GB"/>
        </w:rPr>
        <w:t xml:space="preserve"> to assess </w:t>
      </w:r>
      <w:r w:rsidR="00183DCA" w:rsidRPr="0029175B">
        <w:rPr>
          <w:sz w:val="18"/>
          <w:szCs w:val="18"/>
          <w:lang w:val="en-GB"/>
        </w:rPr>
        <w:t>the</w:t>
      </w:r>
      <w:r w:rsidRPr="0029175B">
        <w:rPr>
          <w:sz w:val="18"/>
          <w:szCs w:val="18"/>
          <w:lang w:val="en-GB"/>
        </w:rPr>
        <w:t xml:space="preserve"> representativeness</w:t>
      </w:r>
      <w:r w:rsidR="00183DCA" w:rsidRPr="0029175B">
        <w:rPr>
          <w:sz w:val="18"/>
          <w:szCs w:val="18"/>
          <w:lang w:val="en-GB"/>
        </w:rPr>
        <w:t xml:space="preserve"> of the registry</w:t>
      </w:r>
      <w:r w:rsidRPr="0029175B">
        <w:rPr>
          <w:sz w:val="18"/>
          <w:szCs w:val="18"/>
          <w:lang w:val="en-GB"/>
        </w:rPr>
        <w:t xml:space="preserve">, identify potential confounders, guide the </w:t>
      </w:r>
      <w:r w:rsidR="00676EA4">
        <w:rPr>
          <w:sz w:val="18"/>
          <w:szCs w:val="18"/>
          <w:lang w:val="en-GB"/>
        </w:rPr>
        <w:t xml:space="preserve">recruitment </w:t>
      </w:r>
      <w:r w:rsidRPr="0029175B">
        <w:rPr>
          <w:sz w:val="18"/>
          <w:szCs w:val="18"/>
          <w:lang w:val="en-GB"/>
        </w:rPr>
        <w:t>strategy for a specific study or adapt the statistical analyses.</w:t>
      </w:r>
    </w:p>
    <w:p w:rsidR="00AD4CBC" w:rsidRPr="008B040E" w:rsidRDefault="00D64049" w:rsidP="008B040E">
      <w:pPr>
        <w:pStyle w:val="Heading2Agency"/>
        <w:rPr>
          <w:rStyle w:val="Fett"/>
          <w:b/>
          <w:bCs/>
        </w:rPr>
      </w:pPr>
      <w:bookmarkStart w:id="86" w:name="_Toc528934928"/>
      <w:r w:rsidRPr="008B040E">
        <w:rPr>
          <w:rStyle w:val="Fett"/>
          <w:b/>
          <w:bCs/>
        </w:rPr>
        <w:t xml:space="preserve">Time </w:t>
      </w:r>
      <w:r w:rsidR="00144771" w:rsidRPr="008B040E">
        <w:rPr>
          <w:rStyle w:val="Fett"/>
          <w:b/>
          <w:bCs/>
        </w:rPr>
        <w:t>elements</w:t>
      </w:r>
      <w:bookmarkEnd w:id="86"/>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Accurate knowledge and recording of dates of important events are essential components of all registries as</w:t>
      </w:r>
      <w:r w:rsidR="007C4D4C" w:rsidRPr="0029175B">
        <w:rPr>
          <w:rStyle w:val="Fett"/>
          <w:b w:val="0"/>
          <w:sz w:val="18"/>
          <w:szCs w:val="18"/>
          <w:lang w:val="en-GB"/>
        </w:rPr>
        <w:t xml:space="preserve"> they</w:t>
      </w:r>
      <w:r w:rsidRPr="0029175B">
        <w:rPr>
          <w:rStyle w:val="Fett"/>
          <w:b w:val="0"/>
          <w:sz w:val="18"/>
          <w:szCs w:val="18"/>
          <w:lang w:val="en-GB"/>
        </w:rPr>
        <w:t xml:space="preserve"> allow computation of time periods critical to the valid analysis of </w:t>
      </w:r>
      <w:r w:rsidR="005B236A" w:rsidRPr="0029175B">
        <w:rPr>
          <w:rStyle w:val="Fett"/>
          <w:b w:val="0"/>
          <w:sz w:val="18"/>
          <w:szCs w:val="18"/>
          <w:lang w:val="en-GB"/>
        </w:rPr>
        <w:t>the</w:t>
      </w:r>
      <w:r w:rsidRPr="0029175B">
        <w:rPr>
          <w:rStyle w:val="Fett"/>
          <w:b w:val="0"/>
          <w:sz w:val="18"/>
          <w:szCs w:val="18"/>
          <w:lang w:val="en-GB"/>
        </w:rPr>
        <w:t xml:space="preserve"> data, such as: time between entry </w:t>
      </w:r>
      <w:r w:rsidR="005B236A" w:rsidRPr="0029175B">
        <w:rPr>
          <w:rStyle w:val="Fett"/>
          <w:b w:val="0"/>
          <w:sz w:val="18"/>
          <w:szCs w:val="18"/>
          <w:lang w:val="en-GB"/>
        </w:rPr>
        <w:t xml:space="preserve">into the registry </w:t>
      </w:r>
      <w:r w:rsidRPr="0029175B">
        <w:rPr>
          <w:rStyle w:val="Fett"/>
          <w:b w:val="0"/>
          <w:sz w:val="18"/>
          <w:szCs w:val="18"/>
          <w:lang w:val="en-GB"/>
        </w:rPr>
        <w:t>and first exposure to medicines, time under different treatments, time of onset of adverse events of special interest</w:t>
      </w:r>
      <w:r w:rsidR="00937554">
        <w:rPr>
          <w:rStyle w:val="Fett"/>
          <w:b w:val="0"/>
          <w:sz w:val="18"/>
          <w:szCs w:val="18"/>
          <w:lang w:val="en-GB"/>
        </w:rPr>
        <w:t>s (AESI</w:t>
      </w:r>
      <w:r w:rsidR="000E008F">
        <w:rPr>
          <w:rStyle w:val="Fett"/>
          <w:b w:val="0"/>
          <w:sz w:val="18"/>
          <w:szCs w:val="18"/>
          <w:lang w:val="en-GB"/>
        </w:rPr>
        <w:t>s</w:t>
      </w:r>
      <w:r w:rsidR="00937554">
        <w:rPr>
          <w:rStyle w:val="Fett"/>
          <w:b w:val="0"/>
          <w:sz w:val="18"/>
          <w:szCs w:val="18"/>
          <w:lang w:val="en-GB"/>
        </w:rPr>
        <w:t>)</w:t>
      </w:r>
      <w:r w:rsidRPr="0029175B">
        <w:rPr>
          <w:rStyle w:val="Fett"/>
          <w:b w:val="0"/>
          <w:sz w:val="18"/>
          <w:szCs w:val="18"/>
          <w:lang w:val="en-GB"/>
        </w:rPr>
        <w:t xml:space="preserve">, time to recovery from an adverse event, time </w:t>
      </w:r>
      <w:r w:rsidR="005B236A" w:rsidRPr="0029175B">
        <w:rPr>
          <w:rStyle w:val="Fett"/>
          <w:b w:val="0"/>
          <w:sz w:val="18"/>
          <w:szCs w:val="18"/>
          <w:lang w:val="en-GB"/>
        </w:rPr>
        <w:t xml:space="preserve">to achieve </w:t>
      </w:r>
      <w:r w:rsidRPr="0029175B">
        <w:rPr>
          <w:rStyle w:val="Fett"/>
          <w:b w:val="0"/>
          <w:sz w:val="18"/>
          <w:szCs w:val="18"/>
          <w:lang w:val="en-GB"/>
        </w:rPr>
        <w:t>effectiveness, time from clinical improvement to relapse, survival time, duration of follow-up, etc</w:t>
      </w:r>
      <w:r w:rsidR="007413B2">
        <w:rPr>
          <w:rStyle w:val="Fett"/>
          <w:b w:val="0"/>
          <w:sz w:val="18"/>
          <w:szCs w:val="18"/>
          <w:lang w:val="en-GB"/>
        </w:rPr>
        <w:t>.</w:t>
      </w:r>
      <w:r w:rsidRPr="0029175B">
        <w:rPr>
          <w:rStyle w:val="Fett"/>
          <w:b w:val="0"/>
          <w:sz w:val="18"/>
          <w:szCs w:val="18"/>
          <w:lang w:val="en-GB"/>
        </w:rPr>
        <w:t xml:space="preserve"> Knowledge of the person-time at risk of an event is </w:t>
      </w:r>
      <w:r w:rsidR="007C4D4C" w:rsidRPr="0029175B">
        <w:rPr>
          <w:rStyle w:val="Fett"/>
          <w:b w:val="0"/>
          <w:sz w:val="18"/>
          <w:szCs w:val="18"/>
          <w:lang w:val="en-GB"/>
        </w:rPr>
        <w:t xml:space="preserve">also </w:t>
      </w:r>
      <w:r w:rsidR="000E008F" w:rsidRPr="0029175B">
        <w:rPr>
          <w:rStyle w:val="Fett"/>
          <w:b w:val="0"/>
          <w:sz w:val="18"/>
          <w:szCs w:val="18"/>
          <w:lang w:val="en-GB"/>
        </w:rPr>
        <w:t>ne</w:t>
      </w:r>
      <w:r w:rsidR="000E008F">
        <w:rPr>
          <w:rStyle w:val="Fett"/>
          <w:b w:val="0"/>
          <w:sz w:val="18"/>
          <w:szCs w:val="18"/>
          <w:lang w:val="en-GB"/>
        </w:rPr>
        <w:t>eded</w:t>
      </w:r>
      <w:r w:rsidR="000E008F" w:rsidRPr="0029175B">
        <w:rPr>
          <w:rStyle w:val="Fett"/>
          <w:b w:val="0"/>
          <w:sz w:val="18"/>
          <w:szCs w:val="18"/>
          <w:lang w:val="en-GB"/>
        </w:rPr>
        <w:t xml:space="preserve"> </w:t>
      </w:r>
      <w:r w:rsidRPr="0029175B">
        <w:rPr>
          <w:rStyle w:val="Fett"/>
          <w:b w:val="0"/>
          <w:sz w:val="18"/>
          <w:szCs w:val="18"/>
          <w:lang w:val="en-GB"/>
        </w:rPr>
        <w:t>to calculate key epidemiological indicators such as incidence rate</w:t>
      </w:r>
      <w:r w:rsidR="005B236A" w:rsidRPr="0029175B">
        <w:rPr>
          <w:rStyle w:val="Fett"/>
          <w:b w:val="0"/>
          <w:sz w:val="18"/>
          <w:szCs w:val="18"/>
          <w:lang w:val="en-GB"/>
        </w:rPr>
        <w:t>s</w:t>
      </w:r>
      <w:r w:rsidRPr="0029175B">
        <w:rPr>
          <w:rStyle w:val="Fett"/>
          <w:b w:val="0"/>
          <w:sz w:val="18"/>
          <w:szCs w:val="18"/>
          <w:lang w:val="en-GB"/>
        </w:rPr>
        <w:t xml:space="preserve"> and perform time-dependent analyses. In addition to the dates relevant to the clinical follow-up of patients, each registry </w:t>
      </w:r>
      <w:r w:rsidR="005B236A" w:rsidRPr="0029175B">
        <w:rPr>
          <w:rStyle w:val="Fett"/>
          <w:b w:val="0"/>
          <w:sz w:val="18"/>
          <w:szCs w:val="18"/>
          <w:lang w:val="en-GB"/>
        </w:rPr>
        <w:t>may</w:t>
      </w:r>
      <w:r w:rsidR="007413B2">
        <w:rPr>
          <w:rStyle w:val="Fett"/>
          <w:b w:val="0"/>
          <w:sz w:val="18"/>
          <w:szCs w:val="18"/>
          <w:lang w:val="en-GB"/>
        </w:rPr>
        <w:t xml:space="preserve"> also</w:t>
      </w:r>
      <w:r w:rsidR="005B236A" w:rsidRPr="0029175B">
        <w:rPr>
          <w:rStyle w:val="Fett"/>
          <w:b w:val="0"/>
          <w:sz w:val="18"/>
          <w:szCs w:val="18"/>
          <w:lang w:val="en-GB"/>
        </w:rPr>
        <w:t xml:space="preserve"> need to record</w:t>
      </w:r>
      <w:r w:rsidRPr="0029175B">
        <w:rPr>
          <w:rStyle w:val="Fett"/>
          <w:b w:val="0"/>
          <w:sz w:val="18"/>
          <w:szCs w:val="18"/>
          <w:lang w:val="en-GB"/>
        </w:rPr>
        <w:t xml:space="preserve"> administrative dates related to data collection and reporting to a central registry. </w:t>
      </w:r>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 xml:space="preserve">Although the choice of </w:t>
      </w:r>
      <w:r w:rsidR="007F4C7F" w:rsidRPr="0029175B">
        <w:rPr>
          <w:rStyle w:val="Fett"/>
          <w:b w:val="0"/>
          <w:sz w:val="18"/>
          <w:szCs w:val="18"/>
          <w:lang w:val="en-GB"/>
        </w:rPr>
        <w:t>time elements</w:t>
      </w:r>
      <w:r w:rsidRPr="0029175B">
        <w:rPr>
          <w:rStyle w:val="Fett"/>
          <w:b w:val="0"/>
          <w:sz w:val="18"/>
          <w:szCs w:val="18"/>
          <w:lang w:val="en-GB"/>
        </w:rPr>
        <w:t xml:space="preserve"> depends on each disease and each situation, Table 2 proposes a list of core time elements that should normally be collected in all registries. Date format and definitions should be standardised </w:t>
      </w:r>
      <w:r w:rsidR="00F355EE">
        <w:rPr>
          <w:rStyle w:val="Fett"/>
          <w:b w:val="0"/>
          <w:sz w:val="18"/>
          <w:szCs w:val="18"/>
          <w:lang w:val="en-GB"/>
        </w:rPr>
        <w:t xml:space="preserve">or mapped </w:t>
      </w:r>
      <w:r w:rsidRPr="0029175B">
        <w:rPr>
          <w:rStyle w:val="Fett"/>
          <w:b w:val="0"/>
          <w:sz w:val="18"/>
          <w:szCs w:val="18"/>
          <w:lang w:val="en-GB"/>
        </w:rPr>
        <w:t>across different registries to facilitate data analysis with the same programming codes and pooling of results obtained with identical statistical analyses.</w:t>
      </w:r>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Table 2. Core list of dates to be collected and recorded in a patient registry</w:t>
      </w:r>
    </w:p>
    <w:tbl>
      <w:tblPr>
        <w:tblStyle w:val="Tabellenraster"/>
        <w:tblW w:w="9865" w:type="dxa"/>
        <w:tblLook w:val="04A0" w:firstRow="1" w:lastRow="0" w:firstColumn="1" w:lastColumn="0" w:noHBand="0" w:noVBand="1"/>
      </w:tblPr>
      <w:tblGrid>
        <w:gridCol w:w="2835"/>
        <w:gridCol w:w="7030"/>
      </w:tblGrid>
      <w:tr w:rsidR="009A4467" w:rsidTr="00A35F68">
        <w:tc>
          <w:tcPr>
            <w:tcW w:w="2835" w:type="dxa"/>
            <w:tcBorders>
              <w:right w:val="nil"/>
            </w:tcBorders>
          </w:tcPr>
          <w:p w:rsidR="00AD4CBC" w:rsidRPr="0029175B" w:rsidRDefault="00D64049" w:rsidP="00A35F68">
            <w:pPr>
              <w:pStyle w:val="Default"/>
              <w:spacing w:after="60"/>
              <w:rPr>
                <w:rStyle w:val="Fett"/>
                <w:b w:val="0"/>
                <w:sz w:val="18"/>
                <w:szCs w:val="18"/>
                <w:lang w:val="en-GB"/>
              </w:rPr>
            </w:pPr>
            <w:r w:rsidRPr="0029175B">
              <w:rPr>
                <w:rStyle w:val="Fett"/>
                <w:b w:val="0"/>
                <w:sz w:val="18"/>
                <w:szCs w:val="18"/>
                <w:lang w:val="en-GB"/>
              </w:rPr>
              <w:t>Date</w:t>
            </w:r>
          </w:p>
        </w:tc>
        <w:tc>
          <w:tcPr>
            <w:tcW w:w="7030" w:type="dxa"/>
            <w:tcBorders>
              <w:left w:val="nil"/>
            </w:tcBorders>
          </w:tcPr>
          <w:p w:rsidR="00AD4CBC" w:rsidRPr="0029175B" w:rsidRDefault="00D64049" w:rsidP="00A45555">
            <w:pPr>
              <w:pStyle w:val="Default"/>
              <w:spacing w:after="60"/>
              <w:jc w:val="center"/>
              <w:rPr>
                <w:rStyle w:val="Fett"/>
                <w:b w:val="0"/>
                <w:sz w:val="18"/>
                <w:szCs w:val="18"/>
                <w:lang w:val="en-GB"/>
              </w:rPr>
            </w:pPr>
            <w:r w:rsidRPr="0029175B">
              <w:rPr>
                <w:rStyle w:val="Fett"/>
                <w:b w:val="0"/>
                <w:sz w:val="18"/>
                <w:szCs w:val="18"/>
                <w:lang w:val="en-GB"/>
              </w:rPr>
              <w:t>Comments</w:t>
            </w:r>
          </w:p>
        </w:tc>
      </w:tr>
      <w:tr w:rsidR="009A4467" w:rsidTr="00A35F68">
        <w:tc>
          <w:tcPr>
            <w:tcW w:w="2835" w:type="dxa"/>
            <w:tcBorders>
              <w:right w:val="nil"/>
            </w:tcBorders>
          </w:tcPr>
          <w:p w:rsidR="00AD4CBC" w:rsidRPr="0029175B" w:rsidRDefault="00D64049" w:rsidP="00A35F68">
            <w:pPr>
              <w:pStyle w:val="Default"/>
              <w:spacing w:after="60"/>
              <w:rPr>
                <w:rStyle w:val="Fett"/>
                <w:b w:val="0"/>
                <w:sz w:val="18"/>
                <w:szCs w:val="18"/>
                <w:u w:val="single"/>
                <w:lang w:val="en-GB"/>
              </w:rPr>
            </w:pPr>
            <w:r w:rsidRPr="0029175B">
              <w:rPr>
                <w:rStyle w:val="Fett"/>
                <w:b w:val="0"/>
                <w:sz w:val="18"/>
                <w:szCs w:val="18"/>
                <w:u w:val="single"/>
                <w:lang w:val="en-GB"/>
              </w:rPr>
              <w:t>Patient dates</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 xml:space="preserve">Date of birth </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death</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pregnancy</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Registry entry date</w:t>
            </w:r>
          </w:p>
          <w:p w:rsidR="00AD4CBC" w:rsidRPr="0029175B" w:rsidRDefault="00AD4CBC" w:rsidP="00A35F68">
            <w:pPr>
              <w:pStyle w:val="Default"/>
              <w:spacing w:after="60"/>
              <w:ind w:left="142" w:hanging="142"/>
              <w:rPr>
                <w:rStyle w:val="Fett"/>
                <w:b w:val="0"/>
                <w:sz w:val="18"/>
                <w:szCs w:val="18"/>
                <w:lang w:val="en-GB"/>
              </w:rPr>
            </w:pP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Registry exit date</w:t>
            </w:r>
          </w:p>
          <w:p w:rsidR="00A47178" w:rsidRPr="0029175B" w:rsidRDefault="00A47178" w:rsidP="00A35F68">
            <w:pPr>
              <w:pStyle w:val="Default"/>
              <w:spacing w:after="60"/>
              <w:ind w:left="142" w:hanging="142"/>
              <w:rPr>
                <w:rStyle w:val="Fett"/>
                <w:b w:val="0"/>
                <w:sz w:val="18"/>
                <w:szCs w:val="18"/>
                <w:lang w:val="en-GB"/>
              </w:rPr>
            </w:pP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Informed consent date</w:t>
            </w:r>
          </w:p>
        </w:tc>
        <w:tc>
          <w:tcPr>
            <w:tcW w:w="7030" w:type="dxa"/>
            <w:tcBorders>
              <w:left w:val="nil"/>
            </w:tcBorders>
          </w:tcPr>
          <w:p w:rsidR="00AD4CBC" w:rsidRPr="0029175B" w:rsidRDefault="00AD4CBC" w:rsidP="00A45555">
            <w:pPr>
              <w:pStyle w:val="Default"/>
              <w:spacing w:after="60"/>
              <w:rPr>
                <w:rStyle w:val="Fett"/>
                <w:b w:val="0"/>
                <w:sz w:val="18"/>
                <w:szCs w:val="18"/>
                <w:lang w:val="en-GB"/>
              </w:rPr>
            </w:pP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Exact date</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Exact date</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Date of last menstrual period or other estimated date of pregnancy start</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 xml:space="preserve">Date at which observation time starts, for ex. date of </w:t>
            </w:r>
            <w:r w:rsidR="007E2F1F">
              <w:rPr>
                <w:rStyle w:val="Fett"/>
                <w:b w:val="0"/>
                <w:sz w:val="18"/>
                <w:szCs w:val="18"/>
                <w:lang w:val="en-GB"/>
              </w:rPr>
              <w:t>first contact</w:t>
            </w:r>
            <w:r w:rsidRPr="0029175B">
              <w:rPr>
                <w:rStyle w:val="Fett"/>
                <w:b w:val="0"/>
                <w:sz w:val="18"/>
                <w:szCs w:val="18"/>
                <w:lang w:val="en-GB"/>
              </w:rPr>
              <w:t>, or date of diagnosis</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Date at which observation time has ceased due to death, move outside the c</w:t>
            </w:r>
            <w:r w:rsidR="00D21122" w:rsidRPr="0029175B">
              <w:rPr>
                <w:rStyle w:val="Fett"/>
                <w:b w:val="0"/>
                <w:sz w:val="18"/>
                <w:szCs w:val="18"/>
                <w:lang w:val="en-GB"/>
              </w:rPr>
              <w:t xml:space="preserve">atchment area, or other reason </w:t>
            </w:r>
          </w:p>
          <w:p w:rsidR="00AD4CBC" w:rsidRPr="0029175B" w:rsidRDefault="00AD4CBC" w:rsidP="00A45555">
            <w:pPr>
              <w:pStyle w:val="Default"/>
              <w:spacing w:after="60"/>
              <w:rPr>
                <w:rStyle w:val="Fett"/>
                <w:b w:val="0"/>
                <w:sz w:val="18"/>
                <w:szCs w:val="18"/>
                <w:lang w:val="en-GB"/>
              </w:rPr>
            </w:pPr>
          </w:p>
        </w:tc>
      </w:tr>
      <w:tr w:rsidR="009A4467" w:rsidTr="00A35F68">
        <w:tc>
          <w:tcPr>
            <w:tcW w:w="2835" w:type="dxa"/>
            <w:tcBorders>
              <w:right w:val="nil"/>
            </w:tcBorders>
          </w:tcPr>
          <w:p w:rsidR="00AD4CBC" w:rsidRPr="0029175B" w:rsidRDefault="00D64049" w:rsidP="00A35F68">
            <w:pPr>
              <w:pStyle w:val="Default"/>
              <w:spacing w:after="60"/>
              <w:rPr>
                <w:rStyle w:val="Fett"/>
                <w:b w:val="0"/>
                <w:sz w:val="18"/>
                <w:szCs w:val="18"/>
                <w:u w:val="single"/>
                <w:lang w:val="en-GB"/>
              </w:rPr>
            </w:pPr>
            <w:r w:rsidRPr="0029175B">
              <w:rPr>
                <w:rStyle w:val="Fett"/>
                <w:b w:val="0"/>
                <w:sz w:val="18"/>
                <w:szCs w:val="18"/>
                <w:u w:val="single"/>
                <w:lang w:val="en-GB"/>
              </w:rPr>
              <w:t>Disease dates</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 xml:space="preserve">Date of first symptoms </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first diagnosis</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definitive diagnosis</w:t>
            </w:r>
          </w:p>
          <w:p w:rsidR="00AD4CBC" w:rsidRPr="0029175B" w:rsidRDefault="00AD4CBC" w:rsidP="00A35F68">
            <w:pPr>
              <w:pStyle w:val="Default"/>
              <w:spacing w:after="60"/>
              <w:ind w:left="142" w:hanging="142"/>
              <w:rPr>
                <w:rStyle w:val="Fett"/>
                <w:b w:val="0"/>
                <w:sz w:val="18"/>
                <w:szCs w:val="18"/>
                <w:lang w:val="en-GB"/>
              </w:rPr>
            </w:pP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Date(s) of cure or significant improvement(s)</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 xml:space="preserve">Date of relapse </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occurrence of significant events associated with the disease</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resolution of significant events associated with the disease</w:t>
            </w:r>
          </w:p>
        </w:tc>
        <w:tc>
          <w:tcPr>
            <w:tcW w:w="7030" w:type="dxa"/>
            <w:tcBorders>
              <w:left w:val="nil"/>
            </w:tcBorders>
          </w:tcPr>
          <w:p w:rsidR="00AD4CBC" w:rsidRPr="0029175B" w:rsidRDefault="00AD4CBC" w:rsidP="00A45555">
            <w:pPr>
              <w:pStyle w:val="Default"/>
              <w:spacing w:after="60"/>
              <w:rPr>
                <w:rStyle w:val="Fett"/>
                <w:b w:val="0"/>
                <w:sz w:val="18"/>
                <w:szCs w:val="18"/>
                <w:lang w:val="en-GB"/>
              </w:rPr>
            </w:pP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Relevant for diseases where diagnosis may be difficult or unprecise</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May be difficult to determine for diseases without clear diagnostic criteria</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 xml:space="preserve">Depending on the disease, for ex. date of definite diagnosis using </w:t>
            </w:r>
            <w:r w:rsidR="00F73923" w:rsidRPr="0029175B">
              <w:rPr>
                <w:rStyle w:val="Fett"/>
                <w:b w:val="0"/>
                <w:sz w:val="18"/>
                <w:szCs w:val="18"/>
                <w:lang w:val="en-GB"/>
              </w:rPr>
              <w:t xml:space="preserve">a validated </w:t>
            </w:r>
            <w:r w:rsidR="007F4C7F" w:rsidRPr="0029175B">
              <w:rPr>
                <w:rStyle w:val="Fett"/>
                <w:b w:val="0"/>
                <w:sz w:val="18"/>
                <w:szCs w:val="18"/>
                <w:lang w:val="en-GB"/>
              </w:rPr>
              <w:t>method</w:t>
            </w:r>
            <w:r w:rsidR="00F73923" w:rsidRPr="0029175B">
              <w:rPr>
                <w:rStyle w:val="Fett"/>
                <w:b w:val="0"/>
                <w:sz w:val="18"/>
                <w:szCs w:val="18"/>
                <w:lang w:val="en-GB"/>
              </w:rPr>
              <w:t xml:space="preserve"> such as </w:t>
            </w:r>
            <w:r w:rsidRPr="0029175B">
              <w:rPr>
                <w:rStyle w:val="Fett"/>
                <w:b w:val="0"/>
                <w:sz w:val="18"/>
                <w:szCs w:val="18"/>
                <w:lang w:val="en-GB"/>
              </w:rPr>
              <w:t>MRI,</w:t>
            </w:r>
            <w:r w:rsidR="007F4C7F" w:rsidRPr="0029175B">
              <w:rPr>
                <w:rStyle w:val="Fett"/>
                <w:b w:val="0"/>
                <w:sz w:val="18"/>
                <w:szCs w:val="18"/>
                <w:lang w:val="en-GB"/>
              </w:rPr>
              <w:t xml:space="preserve"> histology, cyto-genetic method</w:t>
            </w:r>
            <w:r w:rsidRPr="0029175B">
              <w:rPr>
                <w:rStyle w:val="Fett"/>
                <w:b w:val="0"/>
                <w:sz w:val="18"/>
                <w:szCs w:val="18"/>
                <w:lang w:val="en-GB"/>
              </w:rPr>
              <w:t>, etc.</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Cure or improvement(s) documented by objective criteria, or milestones in treatment patterns</w:t>
            </w: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If applicable, relapse(s) documented by objective criteria</w:t>
            </w:r>
          </w:p>
          <w:p w:rsidR="00AD4CBC" w:rsidRPr="0029175B" w:rsidRDefault="00AD4CBC" w:rsidP="00A45555">
            <w:pPr>
              <w:pStyle w:val="Default"/>
              <w:spacing w:after="60"/>
              <w:rPr>
                <w:rStyle w:val="Fett"/>
                <w:b w:val="0"/>
                <w:sz w:val="18"/>
                <w:szCs w:val="18"/>
                <w:lang w:val="en-GB"/>
              </w:rPr>
            </w:pP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Significant events associated with the disease to be defined and documented.</w:t>
            </w:r>
          </w:p>
          <w:p w:rsidR="00AD4CBC" w:rsidRPr="0029175B" w:rsidRDefault="00AD4CBC" w:rsidP="00A45555">
            <w:pPr>
              <w:pStyle w:val="Default"/>
              <w:spacing w:after="60"/>
              <w:rPr>
                <w:rStyle w:val="Fett"/>
                <w:b w:val="0"/>
                <w:sz w:val="18"/>
                <w:szCs w:val="18"/>
                <w:lang w:val="en-GB"/>
              </w:rPr>
            </w:pPr>
          </w:p>
        </w:tc>
      </w:tr>
      <w:tr w:rsidR="009A4467" w:rsidTr="00A35F68">
        <w:tc>
          <w:tcPr>
            <w:tcW w:w="2835" w:type="dxa"/>
            <w:tcBorders>
              <w:right w:val="nil"/>
            </w:tcBorders>
          </w:tcPr>
          <w:p w:rsidR="00AD4CBC" w:rsidRPr="0029175B" w:rsidRDefault="00D64049" w:rsidP="00A35F68">
            <w:pPr>
              <w:pStyle w:val="Default"/>
              <w:spacing w:after="60"/>
              <w:rPr>
                <w:rStyle w:val="Fett"/>
                <w:b w:val="0"/>
                <w:sz w:val="18"/>
                <w:szCs w:val="18"/>
                <w:u w:val="single"/>
                <w:lang w:val="en-GB"/>
              </w:rPr>
            </w:pPr>
            <w:r w:rsidRPr="0029175B">
              <w:rPr>
                <w:rStyle w:val="Fett"/>
                <w:b w:val="0"/>
                <w:sz w:val="18"/>
                <w:szCs w:val="18"/>
                <w:u w:val="single"/>
                <w:lang w:val="en-GB"/>
              </w:rPr>
              <w:t>Investigation date</w:t>
            </w:r>
          </w:p>
          <w:p w:rsidR="00AD4CBC" w:rsidRPr="0029175B" w:rsidRDefault="00D64049" w:rsidP="00A35F68">
            <w:pPr>
              <w:pStyle w:val="Default"/>
              <w:spacing w:after="60"/>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 xml:space="preserve">Date of test1, test2, </w:t>
            </w:r>
            <w:r w:rsidRPr="0029175B">
              <w:rPr>
                <w:rStyle w:val="Fett"/>
                <w:b w:val="0"/>
                <w:sz w:val="18"/>
                <w:szCs w:val="18"/>
                <w:lang w:val="en-GB"/>
              </w:rPr>
              <w:lastRenderedPageBreak/>
              <w:t>test3…</w:t>
            </w:r>
          </w:p>
        </w:tc>
        <w:tc>
          <w:tcPr>
            <w:tcW w:w="7030" w:type="dxa"/>
            <w:tcBorders>
              <w:left w:val="nil"/>
            </w:tcBorders>
          </w:tcPr>
          <w:p w:rsidR="00AD4CBC" w:rsidRPr="0029175B" w:rsidRDefault="00AD4CBC" w:rsidP="00A45555">
            <w:pPr>
              <w:pStyle w:val="Default"/>
              <w:spacing w:after="60"/>
              <w:rPr>
                <w:rStyle w:val="Fett"/>
                <w:b w:val="0"/>
                <w:sz w:val="18"/>
                <w:szCs w:val="18"/>
                <w:u w:val="single"/>
                <w:lang w:val="en-GB"/>
              </w:rPr>
            </w:pPr>
          </w:p>
          <w:p w:rsidR="00AD4CBC" w:rsidRPr="0029175B" w:rsidRDefault="00D64049" w:rsidP="00A45555">
            <w:pPr>
              <w:pStyle w:val="Default"/>
              <w:spacing w:after="60"/>
              <w:rPr>
                <w:rStyle w:val="Fett"/>
                <w:b w:val="0"/>
                <w:sz w:val="18"/>
                <w:szCs w:val="18"/>
                <w:lang w:val="en-GB"/>
              </w:rPr>
            </w:pPr>
            <w:r w:rsidRPr="0029175B">
              <w:rPr>
                <w:rStyle w:val="Fett"/>
                <w:b w:val="0"/>
                <w:sz w:val="18"/>
                <w:szCs w:val="18"/>
                <w:lang w:val="en-GB"/>
              </w:rPr>
              <w:t xml:space="preserve">Dates of key investigation tests applicable in the course of disease </w:t>
            </w:r>
            <w:r w:rsidRPr="0029175B">
              <w:rPr>
                <w:rStyle w:val="Fett"/>
                <w:b w:val="0"/>
                <w:sz w:val="18"/>
                <w:szCs w:val="18"/>
                <w:lang w:val="en-GB"/>
              </w:rPr>
              <w:lastRenderedPageBreak/>
              <w:t>management.</w:t>
            </w:r>
          </w:p>
        </w:tc>
      </w:tr>
      <w:tr w:rsidR="009A4467" w:rsidTr="00A35F68">
        <w:tc>
          <w:tcPr>
            <w:tcW w:w="2835" w:type="dxa"/>
            <w:tcBorders>
              <w:right w:val="nil"/>
            </w:tcBorders>
          </w:tcPr>
          <w:p w:rsidR="00AD4CBC" w:rsidRPr="0029175B" w:rsidRDefault="00D64049" w:rsidP="00A35F68">
            <w:pPr>
              <w:pStyle w:val="Default"/>
              <w:rPr>
                <w:rStyle w:val="Fett"/>
                <w:b w:val="0"/>
                <w:sz w:val="18"/>
                <w:szCs w:val="18"/>
                <w:u w:val="single"/>
                <w:lang w:val="en-GB"/>
              </w:rPr>
            </w:pPr>
            <w:r w:rsidRPr="0029175B">
              <w:rPr>
                <w:rStyle w:val="Fett"/>
                <w:b w:val="0"/>
                <w:sz w:val="18"/>
                <w:szCs w:val="18"/>
                <w:u w:val="single"/>
                <w:lang w:val="en-GB"/>
              </w:rPr>
              <w:lastRenderedPageBreak/>
              <w:t>Treatment dates</w:t>
            </w:r>
          </w:p>
          <w:p w:rsidR="00AD4CBC" w:rsidRPr="0029175B" w:rsidRDefault="00D64049" w:rsidP="00A35F68">
            <w:pPr>
              <w:pStyle w:val="Default"/>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Start date</w:t>
            </w:r>
          </w:p>
          <w:p w:rsidR="00AD4CBC" w:rsidRPr="0029175B" w:rsidRDefault="00D64049" w:rsidP="00A35F68">
            <w:pPr>
              <w:pStyle w:val="Default"/>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Stop date</w:t>
            </w:r>
          </w:p>
          <w:p w:rsidR="00AD4CBC" w:rsidRPr="0029175B" w:rsidRDefault="00AD4CBC" w:rsidP="00A51F55">
            <w:pPr>
              <w:pStyle w:val="Default"/>
              <w:rPr>
                <w:rStyle w:val="Fett"/>
                <w:b w:val="0"/>
                <w:sz w:val="18"/>
                <w:szCs w:val="18"/>
                <w:lang w:val="en-GB"/>
              </w:rPr>
            </w:pPr>
          </w:p>
        </w:tc>
        <w:tc>
          <w:tcPr>
            <w:tcW w:w="7030" w:type="dxa"/>
            <w:tcBorders>
              <w:left w:val="nil"/>
            </w:tcBorders>
          </w:tcPr>
          <w:p w:rsidR="00AD4CBC" w:rsidRPr="0029175B" w:rsidRDefault="00AD4CBC" w:rsidP="00A45555">
            <w:pPr>
              <w:pStyle w:val="Default"/>
              <w:rPr>
                <w:rStyle w:val="Fett"/>
                <w:b w:val="0"/>
                <w:sz w:val="18"/>
                <w:szCs w:val="18"/>
                <w:u w:val="single"/>
                <w:lang w:val="en-GB"/>
              </w:rPr>
            </w:pPr>
          </w:p>
          <w:p w:rsidR="00AD4CBC" w:rsidRPr="0029175B" w:rsidRDefault="00D64049" w:rsidP="00A51F55">
            <w:pPr>
              <w:pStyle w:val="Default"/>
              <w:rPr>
                <w:rStyle w:val="Fett"/>
                <w:b w:val="0"/>
                <w:sz w:val="18"/>
                <w:szCs w:val="18"/>
                <w:lang w:val="en-GB"/>
              </w:rPr>
            </w:pPr>
            <w:r w:rsidRPr="0029175B">
              <w:rPr>
                <w:rStyle w:val="Fett"/>
                <w:b w:val="0"/>
                <w:sz w:val="18"/>
                <w:szCs w:val="18"/>
                <w:lang w:val="en-GB"/>
              </w:rPr>
              <w:t xml:space="preserve">Dates to be collected for each relevant disease-related treatment, symptomatic therapies and relevant co-therapy; date of prescription or </w:t>
            </w:r>
            <w:r w:rsidR="007E2F1F" w:rsidRPr="0029175B">
              <w:rPr>
                <w:rStyle w:val="Fett"/>
                <w:b w:val="0"/>
                <w:sz w:val="18"/>
                <w:szCs w:val="18"/>
                <w:lang w:val="en-GB"/>
              </w:rPr>
              <w:t>dispen</w:t>
            </w:r>
            <w:r w:rsidR="007E2F1F">
              <w:rPr>
                <w:rStyle w:val="Fett"/>
                <w:b w:val="0"/>
                <w:sz w:val="18"/>
                <w:szCs w:val="18"/>
                <w:lang w:val="en-GB"/>
              </w:rPr>
              <w:t>s</w:t>
            </w:r>
            <w:r w:rsidR="007E2F1F" w:rsidRPr="0029175B">
              <w:rPr>
                <w:rStyle w:val="Fett"/>
                <w:b w:val="0"/>
                <w:sz w:val="18"/>
                <w:szCs w:val="18"/>
                <w:lang w:val="en-GB"/>
              </w:rPr>
              <w:t>ing</w:t>
            </w:r>
            <w:r w:rsidR="00353A57">
              <w:rPr>
                <w:rStyle w:val="Fett"/>
                <w:b w:val="0"/>
                <w:sz w:val="18"/>
                <w:szCs w:val="18"/>
                <w:lang w:val="en-GB"/>
              </w:rPr>
              <w:t>; dates of dose changes</w:t>
            </w:r>
          </w:p>
        </w:tc>
      </w:tr>
      <w:tr w:rsidR="009A4467" w:rsidTr="00A35F68">
        <w:tc>
          <w:tcPr>
            <w:tcW w:w="2835" w:type="dxa"/>
            <w:tcBorders>
              <w:right w:val="nil"/>
            </w:tcBorders>
          </w:tcPr>
          <w:p w:rsidR="00AD4CBC" w:rsidRPr="0029175B" w:rsidRDefault="00D64049" w:rsidP="00A35F68">
            <w:pPr>
              <w:pStyle w:val="Default"/>
              <w:rPr>
                <w:rStyle w:val="Fett"/>
                <w:b w:val="0"/>
                <w:sz w:val="18"/>
                <w:szCs w:val="18"/>
                <w:u w:val="single"/>
                <w:lang w:val="en-GB"/>
              </w:rPr>
            </w:pPr>
            <w:r w:rsidRPr="0029175B">
              <w:rPr>
                <w:rStyle w:val="Fett"/>
                <w:b w:val="0"/>
                <w:sz w:val="18"/>
                <w:szCs w:val="18"/>
                <w:u w:val="single"/>
                <w:lang w:val="en-GB"/>
              </w:rPr>
              <w:t>AESI dates</w:t>
            </w:r>
          </w:p>
          <w:p w:rsidR="00AD4CBC" w:rsidRDefault="00D64049" w:rsidP="00A35F68">
            <w:pPr>
              <w:pStyle w:val="Default"/>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occurrence of any AESI</w:t>
            </w:r>
          </w:p>
          <w:p w:rsidR="00434B3F" w:rsidRPr="0029175B" w:rsidRDefault="00434B3F" w:rsidP="00A35F68">
            <w:pPr>
              <w:pStyle w:val="Default"/>
              <w:ind w:left="142" w:hanging="142"/>
              <w:rPr>
                <w:rStyle w:val="Fett"/>
                <w:b w:val="0"/>
                <w:sz w:val="18"/>
                <w:szCs w:val="18"/>
                <w:lang w:val="en-GB"/>
              </w:rPr>
            </w:pPr>
          </w:p>
          <w:p w:rsidR="00AD4CBC" w:rsidRPr="0029175B" w:rsidRDefault="00D64049" w:rsidP="00937554">
            <w:pPr>
              <w:pStyle w:val="Default"/>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resolution of any AESI</w:t>
            </w:r>
          </w:p>
        </w:tc>
        <w:tc>
          <w:tcPr>
            <w:tcW w:w="7030" w:type="dxa"/>
            <w:tcBorders>
              <w:left w:val="nil"/>
            </w:tcBorders>
          </w:tcPr>
          <w:p w:rsidR="00AD4CBC" w:rsidRPr="0029175B" w:rsidRDefault="00AD4CBC" w:rsidP="00A45555">
            <w:pPr>
              <w:pStyle w:val="Default"/>
              <w:rPr>
                <w:rStyle w:val="Fett"/>
                <w:b w:val="0"/>
                <w:sz w:val="18"/>
                <w:szCs w:val="18"/>
                <w:u w:val="single"/>
                <w:lang w:val="en-GB"/>
              </w:rPr>
            </w:pPr>
          </w:p>
          <w:p w:rsidR="00AD4CBC" w:rsidRPr="0029175B" w:rsidRDefault="00D64049" w:rsidP="00A45555">
            <w:pPr>
              <w:pStyle w:val="Default"/>
              <w:rPr>
                <w:rStyle w:val="Fett"/>
                <w:b w:val="0"/>
                <w:sz w:val="18"/>
                <w:szCs w:val="18"/>
                <w:lang w:val="en-GB"/>
              </w:rPr>
            </w:pPr>
            <w:r w:rsidRPr="0029175B">
              <w:rPr>
                <w:rStyle w:val="Fett"/>
                <w:b w:val="0"/>
                <w:sz w:val="18"/>
                <w:szCs w:val="18"/>
                <w:lang w:val="en-GB"/>
              </w:rPr>
              <w:t>Source of AESI occurrence date to be defined in advance and documented: occurrence of first symptoms, first consultation, diagnosis, or any other event</w:t>
            </w:r>
          </w:p>
          <w:p w:rsidR="00AD4CBC" w:rsidRPr="0029175B" w:rsidRDefault="00D64049" w:rsidP="00176F78">
            <w:pPr>
              <w:pStyle w:val="Default"/>
              <w:rPr>
                <w:rStyle w:val="Fett"/>
                <w:b w:val="0"/>
                <w:sz w:val="18"/>
                <w:szCs w:val="18"/>
                <w:lang w:val="en-GB"/>
              </w:rPr>
            </w:pPr>
            <w:r w:rsidRPr="0029175B">
              <w:rPr>
                <w:rStyle w:val="Fett"/>
                <w:b w:val="0"/>
                <w:sz w:val="18"/>
                <w:szCs w:val="18"/>
                <w:lang w:val="en-GB"/>
              </w:rPr>
              <w:t xml:space="preserve">Source of </w:t>
            </w:r>
            <w:r w:rsidR="00176F78" w:rsidRPr="0029175B">
              <w:rPr>
                <w:rStyle w:val="Fett"/>
                <w:b w:val="0"/>
                <w:sz w:val="18"/>
                <w:szCs w:val="18"/>
                <w:lang w:val="en-GB"/>
              </w:rPr>
              <w:t xml:space="preserve">AESI </w:t>
            </w:r>
            <w:r w:rsidRPr="0029175B">
              <w:rPr>
                <w:rStyle w:val="Fett"/>
                <w:b w:val="0"/>
                <w:sz w:val="18"/>
                <w:szCs w:val="18"/>
                <w:lang w:val="en-GB"/>
              </w:rPr>
              <w:t>resolution date to be defined in advance and documented</w:t>
            </w:r>
            <w:r w:rsidR="00176F78" w:rsidRPr="0029175B">
              <w:rPr>
                <w:rStyle w:val="Fett"/>
                <w:b w:val="0"/>
                <w:sz w:val="18"/>
                <w:szCs w:val="18"/>
                <w:lang w:val="en-GB"/>
              </w:rPr>
              <w:t>.</w:t>
            </w:r>
          </w:p>
        </w:tc>
      </w:tr>
      <w:tr w:rsidR="009A4467" w:rsidTr="00A35F68">
        <w:tc>
          <w:tcPr>
            <w:tcW w:w="2835" w:type="dxa"/>
            <w:tcBorders>
              <w:right w:val="nil"/>
            </w:tcBorders>
          </w:tcPr>
          <w:p w:rsidR="00AD4CBC" w:rsidRPr="0029175B" w:rsidRDefault="00D64049" w:rsidP="00A35F68">
            <w:pPr>
              <w:pStyle w:val="Default"/>
              <w:rPr>
                <w:rStyle w:val="Fett"/>
                <w:b w:val="0"/>
                <w:sz w:val="18"/>
                <w:szCs w:val="18"/>
                <w:u w:val="single"/>
                <w:lang w:val="en-GB"/>
              </w:rPr>
            </w:pPr>
            <w:r w:rsidRPr="0029175B">
              <w:rPr>
                <w:rStyle w:val="Fett"/>
                <w:b w:val="0"/>
                <w:sz w:val="18"/>
                <w:szCs w:val="18"/>
                <w:u w:val="single"/>
                <w:lang w:val="en-GB"/>
              </w:rPr>
              <w:t>Other events dates</w:t>
            </w:r>
          </w:p>
          <w:p w:rsidR="00AD4CBC" w:rsidRPr="0029175B" w:rsidRDefault="00D64049" w:rsidP="00A35F68">
            <w:pPr>
              <w:pStyle w:val="Default"/>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 xml:space="preserve">Date of occurrence of any other significant adverse event </w:t>
            </w:r>
          </w:p>
          <w:p w:rsidR="00AD4CBC" w:rsidRPr="0029175B" w:rsidRDefault="00D64049" w:rsidP="00A35F68">
            <w:pPr>
              <w:pStyle w:val="Default"/>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 of resolution of any other significant adverse event</w:t>
            </w:r>
          </w:p>
        </w:tc>
        <w:tc>
          <w:tcPr>
            <w:tcW w:w="7030" w:type="dxa"/>
            <w:tcBorders>
              <w:left w:val="nil"/>
            </w:tcBorders>
          </w:tcPr>
          <w:p w:rsidR="00AD4CBC" w:rsidRPr="0029175B" w:rsidRDefault="00AD4CBC" w:rsidP="00A45555">
            <w:pPr>
              <w:pStyle w:val="Default"/>
              <w:rPr>
                <w:rStyle w:val="Fett"/>
                <w:b w:val="0"/>
                <w:sz w:val="18"/>
                <w:szCs w:val="18"/>
                <w:u w:val="single"/>
                <w:lang w:val="en-GB"/>
              </w:rPr>
            </w:pPr>
          </w:p>
          <w:p w:rsidR="00AD4CBC" w:rsidRPr="0029175B" w:rsidRDefault="00D64049" w:rsidP="00A45555">
            <w:pPr>
              <w:pStyle w:val="Default"/>
              <w:rPr>
                <w:rStyle w:val="Fett"/>
                <w:b w:val="0"/>
                <w:sz w:val="18"/>
                <w:szCs w:val="18"/>
                <w:lang w:val="en-GB"/>
              </w:rPr>
            </w:pPr>
            <w:r w:rsidRPr="0029175B">
              <w:rPr>
                <w:rStyle w:val="Fett"/>
                <w:b w:val="0"/>
                <w:sz w:val="18"/>
                <w:szCs w:val="18"/>
                <w:lang w:val="en-GB"/>
              </w:rPr>
              <w:t>Other significant adverse event to be reported as defined in registry protocol, for example event requiring treatment or life-threatening event</w:t>
            </w:r>
          </w:p>
        </w:tc>
      </w:tr>
      <w:tr w:rsidR="009A4467" w:rsidTr="00A35F68">
        <w:tc>
          <w:tcPr>
            <w:tcW w:w="2835" w:type="dxa"/>
            <w:tcBorders>
              <w:right w:val="nil"/>
            </w:tcBorders>
          </w:tcPr>
          <w:p w:rsidR="00AD4CBC" w:rsidRPr="0029175B" w:rsidRDefault="00D64049" w:rsidP="00A35F68">
            <w:pPr>
              <w:pStyle w:val="Default"/>
              <w:rPr>
                <w:rStyle w:val="Fett"/>
                <w:b w:val="0"/>
                <w:sz w:val="18"/>
                <w:szCs w:val="18"/>
                <w:u w:val="single"/>
                <w:lang w:val="en-GB"/>
              </w:rPr>
            </w:pPr>
            <w:r w:rsidRPr="0029175B">
              <w:rPr>
                <w:rStyle w:val="Fett"/>
                <w:b w:val="0"/>
                <w:sz w:val="18"/>
                <w:szCs w:val="18"/>
                <w:u w:val="single"/>
                <w:lang w:val="en-GB"/>
              </w:rPr>
              <w:t>Observation dates</w:t>
            </w:r>
          </w:p>
          <w:p w:rsidR="00AD4CBC" w:rsidRPr="0029175B" w:rsidRDefault="00D64049" w:rsidP="00A35F68">
            <w:pPr>
              <w:pStyle w:val="Default"/>
              <w:ind w:left="142" w:hanging="142"/>
              <w:rPr>
                <w:rStyle w:val="Fett"/>
                <w:b w:val="0"/>
                <w:sz w:val="18"/>
                <w:szCs w:val="18"/>
                <w:lang w:val="en-GB"/>
              </w:rPr>
            </w:pPr>
            <w:r w:rsidRPr="0029175B">
              <w:rPr>
                <w:rStyle w:val="Fett"/>
                <w:b w:val="0"/>
                <w:sz w:val="18"/>
                <w:szCs w:val="18"/>
                <w:lang w:val="en-GB"/>
              </w:rPr>
              <w:t>-</w:t>
            </w:r>
            <w:r w:rsidRPr="0029175B">
              <w:rPr>
                <w:rStyle w:val="Fett"/>
                <w:b w:val="0"/>
                <w:sz w:val="18"/>
                <w:szCs w:val="18"/>
                <w:lang w:val="en-GB"/>
              </w:rPr>
              <w:tab/>
              <w:t>Dates at which follow-up status is recorded</w:t>
            </w:r>
          </w:p>
        </w:tc>
        <w:tc>
          <w:tcPr>
            <w:tcW w:w="7030" w:type="dxa"/>
            <w:tcBorders>
              <w:left w:val="nil"/>
            </w:tcBorders>
          </w:tcPr>
          <w:p w:rsidR="00AD4CBC" w:rsidRPr="0029175B" w:rsidRDefault="00AD4CBC" w:rsidP="00A45555">
            <w:pPr>
              <w:pStyle w:val="Default"/>
              <w:rPr>
                <w:rStyle w:val="Fett"/>
                <w:b w:val="0"/>
                <w:sz w:val="18"/>
                <w:szCs w:val="18"/>
                <w:u w:val="single"/>
                <w:lang w:val="en-GB"/>
              </w:rPr>
            </w:pPr>
          </w:p>
          <w:p w:rsidR="00AD4CBC" w:rsidRPr="0029175B" w:rsidRDefault="00D64049" w:rsidP="00A45555">
            <w:pPr>
              <w:pStyle w:val="Default"/>
              <w:rPr>
                <w:rStyle w:val="Fett"/>
                <w:b w:val="0"/>
                <w:sz w:val="18"/>
                <w:szCs w:val="18"/>
                <w:lang w:val="en-GB"/>
              </w:rPr>
            </w:pPr>
            <w:r w:rsidRPr="0029175B">
              <w:rPr>
                <w:rStyle w:val="Fett"/>
                <w:b w:val="0"/>
                <w:sz w:val="18"/>
                <w:szCs w:val="18"/>
                <w:lang w:val="en-GB"/>
              </w:rPr>
              <w:t xml:space="preserve">Date of encounter, date of hospitalisation, etc. </w:t>
            </w:r>
          </w:p>
        </w:tc>
      </w:tr>
    </w:tbl>
    <w:p w:rsidR="00AD4CBC" w:rsidRPr="0029175B" w:rsidRDefault="00AD4CBC" w:rsidP="00AD4CBC">
      <w:pPr>
        <w:pStyle w:val="Default"/>
        <w:spacing w:after="140" w:line="280" w:lineRule="exact"/>
        <w:rPr>
          <w:rStyle w:val="Fett"/>
          <w:b w:val="0"/>
          <w:sz w:val="18"/>
          <w:szCs w:val="18"/>
          <w:lang w:val="en-GB"/>
        </w:rPr>
      </w:pPr>
    </w:p>
    <w:p w:rsidR="00AD4CBC" w:rsidRPr="008B040E" w:rsidRDefault="00D64049" w:rsidP="008B040E">
      <w:pPr>
        <w:pStyle w:val="Heading2Agency"/>
        <w:rPr>
          <w:rStyle w:val="Fett"/>
          <w:b/>
          <w:bCs/>
        </w:rPr>
      </w:pPr>
      <w:bookmarkStart w:id="87" w:name="_Toc528934929"/>
      <w:r w:rsidRPr="008B040E">
        <w:rPr>
          <w:rStyle w:val="Fett"/>
          <w:b/>
          <w:bCs/>
        </w:rPr>
        <w:t>Core data elements</w:t>
      </w:r>
      <w:bookmarkEnd w:id="87"/>
    </w:p>
    <w:p w:rsidR="00AD4CBC" w:rsidRPr="0029175B" w:rsidRDefault="00D64049" w:rsidP="00AD4CBC">
      <w:pPr>
        <w:pStyle w:val="Default"/>
        <w:spacing w:after="140" w:line="280" w:lineRule="exact"/>
        <w:rPr>
          <w:bCs/>
          <w:sz w:val="18"/>
          <w:szCs w:val="18"/>
          <w:lang w:val="en-GB"/>
        </w:rPr>
      </w:pPr>
      <w:r w:rsidRPr="0029175B">
        <w:rPr>
          <w:rFonts w:eastAsia="SimSun" w:cs="Arial"/>
          <w:kern w:val="24"/>
          <w:sz w:val="18"/>
          <w:szCs w:val="18"/>
          <w:lang w:val="en-GB"/>
        </w:rPr>
        <w:t>Core data elements are data to be collected on all patients. Ideally, core data elements</w:t>
      </w:r>
      <w:r w:rsidR="0086161D">
        <w:rPr>
          <w:rFonts w:eastAsia="SimSun" w:cs="Arial"/>
          <w:kern w:val="24"/>
          <w:sz w:val="18"/>
          <w:szCs w:val="18"/>
          <w:lang w:val="en-GB"/>
        </w:rPr>
        <w:t xml:space="preserve"> and</w:t>
      </w:r>
      <w:r w:rsidR="0086161D" w:rsidRPr="0029175B">
        <w:rPr>
          <w:rFonts w:eastAsia="SimSun" w:cs="Arial"/>
          <w:kern w:val="24"/>
          <w:sz w:val="18"/>
          <w:szCs w:val="18"/>
          <w:lang w:val="en-GB"/>
        </w:rPr>
        <w:t xml:space="preserve"> </w:t>
      </w:r>
      <w:r w:rsidR="007E2F1F">
        <w:rPr>
          <w:rFonts w:eastAsia="SimSun" w:cs="Arial"/>
          <w:kern w:val="24"/>
          <w:sz w:val="18"/>
          <w:szCs w:val="18"/>
          <w:lang w:val="en-GB"/>
        </w:rPr>
        <w:t>formats</w:t>
      </w:r>
      <w:r w:rsidRPr="0029175B">
        <w:rPr>
          <w:rFonts w:eastAsia="SimSun" w:cs="Arial"/>
          <w:kern w:val="24"/>
          <w:sz w:val="18"/>
          <w:szCs w:val="18"/>
          <w:lang w:val="en-GB"/>
        </w:rPr>
        <w:t xml:space="preserve"> should be harmonised across all registries </w:t>
      </w:r>
      <w:r w:rsidR="00950F9D" w:rsidRPr="0029175B">
        <w:rPr>
          <w:rFonts w:eastAsia="SimSun" w:cs="Arial"/>
          <w:kern w:val="24"/>
          <w:sz w:val="18"/>
          <w:szCs w:val="18"/>
          <w:lang w:val="en-GB"/>
        </w:rPr>
        <w:t>of</w:t>
      </w:r>
      <w:r w:rsidRPr="0029175B">
        <w:rPr>
          <w:rFonts w:eastAsia="SimSun" w:cs="Arial"/>
          <w:kern w:val="24"/>
          <w:sz w:val="18"/>
          <w:szCs w:val="18"/>
          <w:lang w:val="en-GB"/>
        </w:rPr>
        <w:t xml:space="preserve"> patients with a same disease. This is an important basis for regulatory evaluation as harmonisation </w:t>
      </w:r>
      <w:r w:rsidR="00A21550">
        <w:rPr>
          <w:rFonts w:eastAsia="SimSun" w:cs="Arial"/>
          <w:kern w:val="24"/>
          <w:sz w:val="18"/>
          <w:szCs w:val="18"/>
          <w:lang w:val="en-GB"/>
        </w:rPr>
        <w:t xml:space="preserve">to international standards </w:t>
      </w:r>
      <w:r w:rsidRPr="0029175B">
        <w:rPr>
          <w:rFonts w:eastAsia="SimSun" w:cs="Arial"/>
          <w:kern w:val="24"/>
          <w:sz w:val="18"/>
          <w:szCs w:val="18"/>
          <w:lang w:val="en-GB"/>
        </w:rPr>
        <w:t xml:space="preserve">facilitates implementation of a common data quality system (automated data entry control, checks for data consistency, routine statistical screening), data exchange, common data analysis on a large number of patients and interpretation of results from different registries. Lack of </w:t>
      </w:r>
      <w:r w:rsidR="00A21550" w:rsidRPr="0029175B">
        <w:rPr>
          <w:rFonts w:eastAsia="SimSun" w:cs="Arial"/>
          <w:kern w:val="24"/>
          <w:sz w:val="18"/>
          <w:szCs w:val="18"/>
          <w:lang w:val="en-GB"/>
        </w:rPr>
        <w:t>harmoni</w:t>
      </w:r>
      <w:r w:rsidR="00A21550">
        <w:rPr>
          <w:rFonts w:eastAsia="SimSun" w:cs="Arial"/>
          <w:kern w:val="24"/>
          <w:sz w:val="18"/>
          <w:szCs w:val="18"/>
          <w:lang w:val="en-GB"/>
        </w:rPr>
        <w:t>s</w:t>
      </w:r>
      <w:r w:rsidR="00A21550" w:rsidRPr="0029175B">
        <w:rPr>
          <w:rFonts w:eastAsia="SimSun" w:cs="Arial"/>
          <w:kern w:val="24"/>
          <w:sz w:val="18"/>
          <w:szCs w:val="18"/>
          <w:lang w:val="en-GB"/>
        </w:rPr>
        <w:t xml:space="preserve">ation </w:t>
      </w:r>
      <w:r w:rsidRPr="0029175B">
        <w:rPr>
          <w:rFonts w:eastAsia="SimSun" w:cs="Arial"/>
          <w:kern w:val="24"/>
          <w:sz w:val="18"/>
          <w:szCs w:val="18"/>
          <w:lang w:val="en-GB"/>
        </w:rPr>
        <w:t xml:space="preserve">may require a mapping of data elements representing the same concept but used with different definitions and terminologies. As this mapping process may be time-consuming and resource intensive, common core data elements and </w:t>
      </w:r>
      <w:r w:rsidR="007E2F1F">
        <w:rPr>
          <w:rFonts w:eastAsia="SimSun" w:cs="Arial"/>
          <w:kern w:val="24"/>
          <w:sz w:val="18"/>
          <w:szCs w:val="18"/>
          <w:lang w:val="en-GB"/>
        </w:rPr>
        <w:t>format</w:t>
      </w:r>
      <w:r w:rsidR="0086161D">
        <w:rPr>
          <w:rFonts w:eastAsia="SimSun" w:cs="Arial"/>
          <w:kern w:val="24"/>
          <w:sz w:val="18"/>
          <w:szCs w:val="18"/>
          <w:lang w:val="en-GB"/>
        </w:rPr>
        <w:t>s</w:t>
      </w:r>
      <w:r w:rsidR="0086161D" w:rsidRPr="0029175B">
        <w:rPr>
          <w:rFonts w:eastAsia="SimSun" w:cs="Arial"/>
          <w:kern w:val="24"/>
          <w:sz w:val="18"/>
          <w:szCs w:val="18"/>
          <w:lang w:val="en-GB"/>
        </w:rPr>
        <w:t xml:space="preserve"> </w:t>
      </w:r>
      <w:r w:rsidRPr="0029175B">
        <w:rPr>
          <w:rFonts w:eastAsia="SimSun" w:cs="Arial"/>
          <w:kern w:val="24"/>
          <w:sz w:val="18"/>
          <w:szCs w:val="18"/>
          <w:lang w:val="en-GB"/>
        </w:rPr>
        <w:t xml:space="preserve">should be preferably implemented at the design or </w:t>
      </w:r>
      <w:r w:rsidR="00950F9D" w:rsidRPr="0029175B">
        <w:rPr>
          <w:rFonts w:eastAsia="SimSun" w:cs="Arial"/>
          <w:kern w:val="24"/>
          <w:sz w:val="18"/>
          <w:szCs w:val="18"/>
          <w:lang w:val="en-GB"/>
        </w:rPr>
        <w:t>amendment</w:t>
      </w:r>
      <w:r w:rsidRPr="0029175B">
        <w:rPr>
          <w:rFonts w:eastAsia="SimSun" w:cs="Arial"/>
          <w:kern w:val="24"/>
          <w:sz w:val="18"/>
          <w:szCs w:val="18"/>
          <w:lang w:val="en-GB"/>
        </w:rPr>
        <w:t xml:space="preserve"> stage</w:t>
      </w:r>
      <w:r w:rsidR="00667B1E" w:rsidRPr="0029175B">
        <w:rPr>
          <w:rFonts w:eastAsia="SimSun" w:cs="Arial"/>
          <w:kern w:val="24"/>
          <w:sz w:val="18"/>
          <w:szCs w:val="18"/>
          <w:lang w:val="en-GB"/>
        </w:rPr>
        <w:t>s</w:t>
      </w:r>
      <w:r w:rsidRPr="0029175B">
        <w:rPr>
          <w:rFonts w:eastAsia="SimSun" w:cs="Arial"/>
          <w:kern w:val="24"/>
          <w:sz w:val="18"/>
          <w:szCs w:val="18"/>
          <w:lang w:val="en-GB"/>
        </w:rPr>
        <w:t xml:space="preserve"> of registries.</w:t>
      </w:r>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Core data elements should be defined with cli</w:t>
      </w:r>
      <w:r w:rsidR="00667B1E" w:rsidRPr="0029175B">
        <w:rPr>
          <w:rStyle w:val="Fett"/>
          <w:b w:val="0"/>
          <w:sz w:val="18"/>
          <w:szCs w:val="18"/>
          <w:lang w:val="en-GB"/>
        </w:rPr>
        <w:t xml:space="preserve">nicians and experts </w:t>
      </w:r>
      <w:r w:rsidR="006A361A">
        <w:rPr>
          <w:rStyle w:val="Fett"/>
          <w:b w:val="0"/>
          <w:sz w:val="18"/>
          <w:szCs w:val="18"/>
          <w:lang w:val="en-GB"/>
        </w:rPr>
        <w:t>concerned by</w:t>
      </w:r>
      <w:r w:rsidR="00667B1E" w:rsidRPr="0029175B">
        <w:rPr>
          <w:rStyle w:val="Fett"/>
          <w:b w:val="0"/>
          <w:sz w:val="18"/>
          <w:szCs w:val="18"/>
          <w:lang w:val="en-GB"/>
        </w:rPr>
        <w:t xml:space="preserve"> the disease </w:t>
      </w:r>
      <w:r w:rsidRPr="0029175B">
        <w:rPr>
          <w:rStyle w:val="Fett"/>
          <w:b w:val="0"/>
          <w:sz w:val="18"/>
          <w:szCs w:val="18"/>
          <w:lang w:val="en-GB"/>
        </w:rPr>
        <w:t xml:space="preserve">as well as representatives of patients and end-users of registry information. Where it is anticipated that the data will be used for registry studies with a regulatory purpose, regulators </w:t>
      </w:r>
      <w:r w:rsidR="00F355EE">
        <w:rPr>
          <w:rStyle w:val="Fett"/>
          <w:b w:val="0"/>
          <w:sz w:val="18"/>
          <w:szCs w:val="18"/>
          <w:lang w:val="en-GB"/>
        </w:rPr>
        <w:t>c</w:t>
      </w:r>
      <w:r w:rsidR="00F355EE" w:rsidRPr="0029175B">
        <w:rPr>
          <w:rStyle w:val="Fett"/>
          <w:b w:val="0"/>
          <w:sz w:val="18"/>
          <w:szCs w:val="18"/>
          <w:lang w:val="en-GB"/>
        </w:rPr>
        <w:t xml:space="preserve">ould </w:t>
      </w:r>
      <w:r w:rsidRPr="0029175B">
        <w:rPr>
          <w:rStyle w:val="Fett"/>
          <w:b w:val="0"/>
          <w:sz w:val="18"/>
          <w:szCs w:val="18"/>
          <w:lang w:val="en-GB"/>
        </w:rPr>
        <w:t xml:space="preserve">also be consulted in order to support adoption of an adequate set of data elements relevant for medicines evaluation. For all data elements, associated definitions and data dictionaries should be included in the registry documentation and </w:t>
      </w:r>
      <w:r w:rsidR="00667B1E" w:rsidRPr="0029175B">
        <w:rPr>
          <w:rStyle w:val="Fett"/>
          <w:b w:val="0"/>
          <w:sz w:val="18"/>
          <w:szCs w:val="18"/>
          <w:lang w:val="en-GB"/>
        </w:rPr>
        <w:t xml:space="preserve">published or made available </w:t>
      </w:r>
      <w:r w:rsidRPr="0029175B">
        <w:rPr>
          <w:rStyle w:val="Fett"/>
          <w:b w:val="0"/>
          <w:sz w:val="18"/>
          <w:szCs w:val="18"/>
          <w:lang w:val="en-GB"/>
        </w:rPr>
        <w:t>on request.</w:t>
      </w:r>
    </w:p>
    <w:p w:rsidR="00AD4CBC" w:rsidRPr="0029175B" w:rsidRDefault="00D64049" w:rsidP="00AD4CBC">
      <w:pPr>
        <w:pStyle w:val="Default"/>
        <w:spacing w:after="140" w:line="280" w:lineRule="exact"/>
        <w:rPr>
          <w:sz w:val="18"/>
          <w:szCs w:val="18"/>
          <w:lang w:val="en-GB"/>
        </w:rPr>
      </w:pPr>
      <w:r w:rsidRPr="0029175B">
        <w:rPr>
          <w:sz w:val="18"/>
          <w:szCs w:val="18"/>
          <w:lang w:val="en-GB"/>
        </w:rPr>
        <w:t>Examples of lists of core data elements agreed for disease registries have been published in the reports of workshops on registries for cystic fibrosis</w:t>
      </w:r>
      <w:r w:rsidR="00B21081" w:rsidRPr="003B5D09">
        <w:rPr>
          <w:rStyle w:val="Hyperlink"/>
          <w:sz w:val="18"/>
          <w:szCs w:val="18"/>
          <w:u w:val="none"/>
          <w:lang w:val="en-GB"/>
        </w:rPr>
        <w:t xml:space="preserve"> </w:t>
      </w:r>
      <w:r w:rsidR="00B21081" w:rsidRPr="0029175B">
        <w:rPr>
          <w:rStyle w:val="Hyperlink"/>
          <w:sz w:val="18"/>
          <w:szCs w:val="18"/>
          <w:lang w:val="en-GB"/>
        </w:rPr>
        <w:fldChar w:fldCharType="begin"/>
      </w:r>
      <w:r w:rsidR="00861617">
        <w:rPr>
          <w:rStyle w:val="Hyperlink"/>
          <w:sz w:val="18"/>
          <w:szCs w:val="18"/>
          <w:lang w:val="en-GB"/>
        </w:rPr>
        <w:instrText xml:space="preserve"> ADDIN ZOTERO_ITEM CSL_CITATION {"citationID":"a16vfjlqe3i","properties":{"formattedCitation":"(6)","plainCitation":"(6)"},"citationItems":[{"id":2213,"uris":["http://zotero.org/users/local/tAKp4fcl/items/Z32MBVGG"],"uri":["http://zotero.org/users/local/tAKp4fcl/items/Z32MBVGG"],"itemData":{"id":2213,"type":"article","title":"Report on Cystic Fibrosis Registries - Workshop 14 June 2017. Patient Registries Initiative. EMA/510601/2017","URL":"http://www.ema.europa.eu/docs/en_GB/document_library/Report/2017/10/WC500236631.pdf","author":[{"literal":"European Medicines Agency (EMA)"}],"issued":{"date-parts":[["2017",9,15]]}}}],"schema":"https://github.com/citation-style-language/schema/raw/master/csl-citation.json"} </w:instrText>
      </w:r>
      <w:r w:rsidR="00B21081" w:rsidRPr="0029175B">
        <w:rPr>
          <w:rStyle w:val="Hyperlink"/>
          <w:sz w:val="18"/>
          <w:szCs w:val="18"/>
          <w:lang w:val="en-GB"/>
        </w:rPr>
        <w:fldChar w:fldCharType="separate"/>
      </w:r>
      <w:r w:rsidR="00861617" w:rsidRPr="00861617">
        <w:rPr>
          <w:sz w:val="18"/>
        </w:rPr>
        <w:t>(6)</w:t>
      </w:r>
      <w:r w:rsidR="00B21081" w:rsidRPr="0029175B">
        <w:rPr>
          <w:rStyle w:val="Hyperlink"/>
          <w:sz w:val="18"/>
          <w:szCs w:val="18"/>
          <w:lang w:val="en-GB"/>
        </w:rPr>
        <w:fldChar w:fldCharType="end"/>
      </w:r>
      <w:r w:rsidRPr="0029175B">
        <w:rPr>
          <w:sz w:val="18"/>
          <w:szCs w:val="18"/>
          <w:lang w:val="en-GB"/>
        </w:rPr>
        <w:t>, multiple sclerosis</w:t>
      </w:r>
      <w:r w:rsidR="00B21081" w:rsidRPr="0029175B">
        <w:rPr>
          <w:sz w:val="18"/>
          <w:szCs w:val="18"/>
          <w:lang w:val="en-GB"/>
        </w:rPr>
        <w:t xml:space="preserve"> </w:t>
      </w:r>
      <w:r w:rsidR="00B21081" w:rsidRPr="0029175B">
        <w:rPr>
          <w:sz w:val="18"/>
          <w:szCs w:val="18"/>
          <w:lang w:val="en-GB"/>
        </w:rPr>
        <w:fldChar w:fldCharType="begin"/>
      </w:r>
      <w:r w:rsidR="00861617">
        <w:rPr>
          <w:sz w:val="18"/>
          <w:szCs w:val="18"/>
          <w:lang w:val="en-GB"/>
        </w:rPr>
        <w:instrText xml:space="preserve"> ADDIN ZOTERO_ITEM CSL_CITATION {"citationID":"a1bvvks5ta7","properties":{"formattedCitation":"(7)","plainCitation":"(7)"},"citationItems":[{"id":2241,"uris":["http://zotero.org/users/local/tAKp4fcl/items/WCM4PCET"],"uri":["http://zotero.org/users/local/tAKp4fcl/items/WCM4PCET"],"itemData":{"id":2241,"type":"article","title":"Report on Multiple Sclerosis Registries - Workshop 7 July 2017. Patient Registries Initiative. EMA/548474/2017","URL":"http://www.ema.europa.eu/docs/en_GB/document_library/Report/2017/10/WC500236644.pdf","author":[{"literal":"European Medicines Agency (EMA)"}],"issued":{"date-parts":[["2017",10,9]]}}}],"schema":"https://github.com/citation-style-language/schema/raw/master/csl-citation.json"} </w:instrText>
      </w:r>
      <w:r w:rsidR="00B21081" w:rsidRPr="0029175B">
        <w:rPr>
          <w:sz w:val="18"/>
          <w:szCs w:val="18"/>
          <w:lang w:val="en-GB"/>
        </w:rPr>
        <w:fldChar w:fldCharType="separate"/>
      </w:r>
      <w:r w:rsidR="00861617" w:rsidRPr="00861617">
        <w:rPr>
          <w:sz w:val="18"/>
        </w:rPr>
        <w:t>(7)</w:t>
      </w:r>
      <w:r w:rsidR="00B21081" w:rsidRPr="0029175B">
        <w:rPr>
          <w:sz w:val="18"/>
          <w:szCs w:val="18"/>
          <w:lang w:val="en-GB"/>
        </w:rPr>
        <w:fldChar w:fldCharType="end"/>
      </w:r>
      <w:r w:rsidR="00F355EE">
        <w:rPr>
          <w:sz w:val="18"/>
          <w:szCs w:val="18"/>
          <w:lang w:val="en-GB"/>
        </w:rPr>
        <w:t xml:space="preserve">, </w:t>
      </w:r>
      <w:r w:rsidRPr="0029175B">
        <w:rPr>
          <w:sz w:val="18"/>
          <w:szCs w:val="18"/>
          <w:lang w:val="en-GB"/>
        </w:rPr>
        <w:t>CAR T cell products</w:t>
      </w:r>
      <w:r w:rsidR="00B21081" w:rsidRPr="0029175B">
        <w:rPr>
          <w:sz w:val="18"/>
          <w:szCs w:val="18"/>
          <w:lang w:val="en-GB"/>
        </w:rPr>
        <w:t xml:space="preserve"> </w:t>
      </w:r>
      <w:r w:rsidR="00B21081" w:rsidRPr="0029175B">
        <w:rPr>
          <w:sz w:val="18"/>
          <w:szCs w:val="18"/>
          <w:lang w:val="en-GB"/>
        </w:rPr>
        <w:fldChar w:fldCharType="begin"/>
      </w:r>
      <w:r w:rsidR="00861617">
        <w:rPr>
          <w:sz w:val="18"/>
          <w:szCs w:val="18"/>
          <w:lang w:val="en-GB"/>
        </w:rPr>
        <w:instrText xml:space="preserve"> ADDIN ZOTERO_ITEM CSL_CITATION {"citationID":"a2b50effgg6","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sidR="00B21081" w:rsidRPr="0029175B">
        <w:rPr>
          <w:sz w:val="18"/>
          <w:szCs w:val="18"/>
          <w:lang w:val="en-GB"/>
        </w:rPr>
        <w:fldChar w:fldCharType="separate"/>
      </w:r>
      <w:r w:rsidR="00861617" w:rsidRPr="00861617">
        <w:rPr>
          <w:sz w:val="18"/>
        </w:rPr>
        <w:t>(8)</w:t>
      </w:r>
      <w:r w:rsidR="00B21081" w:rsidRPr="0029175B">
        <w:rPr>
          <w:sz w:val="18"/>
          <w:szCs w:val="18"/>
          <w:lang w:val="en-GB"/>
        </w:rPr>
        <w:fldChar w:fldCharType="end"/>
      </w:r>
      <w:r w:rsidR="00F355EE">
        <w:rPr>
          <w:sz w:val="18"/>
          <w:szCs w:val="18"/>
          <w:lang w:val="en-GB"/>
        </w:rPr>
        <w:t xml:space="preserve"> and haemophilia (9) registries</w:t>
      </w:r>
      <w:r w:rsidRPr="0029175B">
        <w:rPr>
          <w:sz w:val="18"/>
          <w:szCs w:val="18"/>
          <w:lang w:val="en-GB"/>
        </w:rPr>
        <w:t xml:space="preserve">. The </w:t>
      </w:r>
      <w:r w:rsidR="00B21081" w:rsidRPr="0029175B">
        <w:rPr>
          <w:sz w:val="18"/>
          <w:szCs w:val="18"/>
          <w:lang w:val="en-GB"/>
        </w:rPr>
        <w:t xml:space="preserve">European Platform on Rare Diseases Registration (EU RD Platform) </w:t>
      </w:r>
      <w:r w:rsidRPr="0029175B">
        <w:rPr>
          <w:sz w:val="18"/>
          <w:szCs w:val="18"/>
          <w:lang w:val="en-GB"/>
        </w:rPr>
        <w:t>has developed a "Set of Common Data Elements for RD Registration"</w:t>
      </w:r>
      <w:r w:rsidR="00B21081" w:rsidRPr="0029175B">
        <w:rPr>
          <w:sz w:val="18"/>
          <w:szCs w:val="18"/>
          <w:lang w:val="en-GB"/>
        </w:rPr>
        <w:t xml:space="preserve"> </w:t>
      </w:r>
      <w:r w:rsidR="00B21081" w:rsidRPr="007C0735">
        <w:rPr>
          <w:sz w:val="18"/>
          <w:szCs w:val="18"/>
          <w:lang w:val="en-GB"/>
        </w:rPr>
        <w:fldChar w:fldCharType="begin"/>
      </w:r>
      <w:r w:rsidR="005E2E45">
        <w:rPr>
          <w:sz w:val="18"/>
          <w:szCs w:val="18"/>
          <w:lang w:val="en-GB"/>
        </w:rPr>
        <w:instrText xml:space="preserve"> ADDIN ZOTERO_ITEM CSL_CITATION {"citationID":"a23pj83nthk","properties":{"formattedCitation":"(24)","plainCitation":"(24)"},"citationItems":[{"id":2253,"uris":["http://zotero.org/users/local/tAKp4fcl/items/ID9I3IM2"],"uri":["http://zotero.org/users/local/tAKp4fcl/items/ID9I3IM2"],"itemData":{"id":2253,"type":"webpage","title":"JRC EU RD Platform releases the Set of Common Data Elements for RD Registration","URL":"http://www.erare.eu/news/jrc-eu-rd-platform-releases-set-common-data-elements-rd-registration"}}],"schema":"https://github.com/citation-style-language/schema/raw/master/csl-citation.json"} </w:instrText>
      </w:r>
      <w:r w:rsidR="00B21081" w:rsidRPr="007C0735">
        <w:rPr>
          <w:sz w:val="18"/>
          <w:szCs w:val="18"/>
          <w:lang w:val="en-GB"/>
        </w:rPr>
        <w:fldChar w:fldCharType="separate"/>
      </w:r>
      <w:r w:rsidR="005E2E45" w:rsidRPr="005E2E45">
        <w:rPr>
          <w:sz w:val="18"/>
        </w:rPr>
        <w:t>(24)</w:t>
      </w:r>
      <w:r w:rsidR="00B21081" w:rsidRPr="007C0735">
        <w:rPr>
          <w:sz w:val="18"/>
          <w:szCs w:val="18"/>
          <w:lang w:val="en-GB"/>
        </w:rPr>
        <w:fldChar w:fldCharType="end"/>
      </w:r>
      <w:r w:rsidR="00B9078A">
        <w:rPr>
          <w:sz w:val="18"/>
          <w:szCs w:val="18"/>
          <w:lang w:val="en-GB"/>
        </w:rPr>
        <w:t xml:space="preserve">. It is aimed </w:t>
      </w:r>
      <w:r w:rsidRPr="0029175B">
        <w:rPr>
          <w:sz w:val="18"/>
          <w:szCs w:val="18"/>
          <w:lang w:val="en-GB"/>
        </w:rPr>
        <w:t>to the European Reference Network's existing registries and registries under development</w:t>
      </w:r>
      <w:r w:rsidR="00B9078A">
        <w:rPr>
          <w:sz w:val="18"/>
          <w:szCs w:val="18"/>
          <w:lang w:val="en-GB"/>
        </w:rPr>
        <w:t>,</w:t>
      </w:r>
      <w:r w:rsidRPr="0029175B">
        <w:rPr>
          <w:sz w:val="18"/>
          <w:szCs w:val="18"/>
          <w:lang w:val="en-GB"/>
        </w:rPr>
        <w:t xml:space="preserve"> to all other RD registries at national, regional, </w:t>
      </w:r>
      <w:r w:rsidR="00B9078A">
        <w:rPr>
          <w:sz w:val="18"/>
          <w:szCs w:val="18"/>
          <w:lang w:val="en-GB"/>
        </w:rPr>
        <w:t xml:space="preserve">and </w:t>
      </w:r>
      <w:r w:rsidRPr="0029175B">
        <w:rPr>
          <w:sz w:val="18"/>
          <w:szCs w:val="18"/>
          <w:lang w:val="en-GB"/>
        </w:rPr>
        <w:t xml:space="preserve">local level in the Member States, to researchers and </w:t>
      </w:r>
      <w:r w:rsidR="00B9078A">
        <w:rPr>
          <w:sz w:val="18"/>
          <w:szCs w:val="18"/>
          <w:lang w:val="en-GB"/>
        </w:rPr>
        <w:t xml:space="preserve">to </w:t>
      </w:r>
      <w:r w:rsidRPr="0029175B">
        <w:rPr>
          <w:sz w:val="18"/>
          <w:szCs w:val="18"/>
          <w:lang w:val="en-GB"/>
        </w:rPr>
        <w:t xml:space="preserve">patient organisations. </w:t>
      </w:r>
      <w:r w:rsidR="00B9078A">
        <w:rPr>
          <w:sz w:val="18"/>
          <w:szCs w:val="18"/>
          <w:lang w:val="en-GB"/>
        </w:rPr>
        <w:t>T</w:t>
      </w:r>
      <w:r w:rsidRPr="0029175B">
        <w:rPr>
          <w:sz w:val="18"/>
          <w:szCs w:val="18"/>
          <w:lang w:val="en-GB"/>
        </w:rPr>
        <w:t xml:space="preserve">his set of core data elements for rare diseases does not include information on therapies.  </w:t>
      </w:r>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The adoption</w:t>
      </w:r>
      <w:r w:rsidR="001D5028">
        <w:rPr>
          <w:rStyle w:val="Fett"/>
          <w:b w:val="0"/>
          <w:sz w:val="18"/>
          <w:szCs w:val="18"/>
          <w:lang w:val="en-GB"/>
        </w:rPr>
        <w:t xml:space="preserve"> of</w:t>
      </w:r>
      <w:r w:rsidRPr="0029175B">
        <w:rPr>
          <w:rStyle w:val="Fett"/>
          <w:b w:val="0"/>
          <w:sz w:val="18"/>
          <w:szCs w:val="18"/>
          <w:lang w:val="en-GB"/>
        </w:rPr>
        <w:t xml:space="preserve"> a common set of core date elements across registries does not exclude collection of additional data that may be useful for patient monitoring or other purposes. </w:t>
      </w:r>
      <w:r>
        <w:rPr>
          <w:rStyle w:val="Fett"/>
          <w:b w:val="0"/>
          <w:sz w:val="18"/>
          <w:szCs w:val="18"/>
          <w:lang w:val="en-GB"/>
        </w:rPr>
        <w:t>“Crucial”</w:t>
      </w:r>
      <w:r w:rsidRPr="0029175B">
        <w:rPr>
          <w:rStyle w:val="Fett"/>
          <w:b w:val="0"/>
          <w:sz w:val="18"/>
          <w:szCs w:val="18"/>
          <w:lang w:val="en-GB"/>
        </w:rPr>
        <w:t xml:space="preserve"> data elements are those </w:t>
      </w:r>
      <w:r w:rsidR="004E57A3">
        <w:rPr>
          <w:rStyle w:val="Fett"/>
          <w:b w:val="0"/>
          <w:sz w:val="18"/>
          <w:szCs w:val="18"/>
          <w:lang w:val="en-GB"/>
        </w:rPr>
        <w:t xml:space="preserve">which should be collected in all registries and </w:t>
      </w:r>
      <w:r w:rsidRPr="0029175B">
        <w:rPr>
          <w:rStyle w:val="Fett"/>
          <w:b w:val="0"/>
          <w:sz w:val="18"/>
          <w:szCs w:val="18"/>
          <w:lang w:val="en-GB"/>
        </w:rPr>
        <w:t xml:space="preserve">on which greater amounts of resources should be allocated </w:t>
      </w:r>
      <w:r w:rsidR="00C0297A" w:rsidRPr="0029175B">
        <w:rPr>
          <w:rStyle w:val="Fett"/>
          <w:b w:val="0"/>
          <w:sz w:val="18"/>
          <w:szCs w:val="18"/>
          <w:lang w:val="en-GB"/>
        </w:rPr>
        <w:t xml:space="preserve">to </w:t>
      </w:r>
      <w:r w:rsidRPr="0029175B">
        <w:rPr>
          <w:rStyle w:val="Fett"/>
          <w:b w:val="0"/>
          <w:sz w:val="18"/>
          <w:szCs w:val="18"/>
          <w:lang w:val="en-GB"/>
        </w:rPr>
        <w:t xml:space="preserve">ensure completeness, standardisation, data quality and verification of the information. </w:t>
      </w:r>
      <w:r w:rsidRPr="0029175B">
        <w:rPr>
          <w:rStyle w:val="Fett"/>
          <w:b w:val="0"/>
          <w:sz w:val="18"/>
          <w:szCs w:val="18"/>
          <w:lang w:val="en-GB"/>
        </w:rPr>
        <w:lastRenderedPageBreak/>
        <w:t>“</w:t>
      </w:r>
      <w:r w:rsidR="004E57A3">
        <w:rPr>
          <w:rStyle w:val="Fett"/>
          <w:b w:val="0"/>
          <w:sz w:val="18"/>
          <w:szCs w:val="18"/>
          <w:lang w:val="en-GB"/>
        </w:rPr>
        <w:t>S</w:t>
      </w:r>
      <w:r w:rsidR="007F3493">
        <w:rPr>
          <w:rStyle w:val="Fett"/>
          <w:b w:val="0"/>
          <w:sz w:val="18"/>
          <w:szCs w:val="18"/>
          <w:lang w:val="en-GB"/>
        </w:rPr>
        <w:t>hould</w:t>
      </w:r>
      <w:r w:rsidRPr="0029175B">
        <w:rPr>
          <w:rStyle w:val="Fett"/>
          <w:b w:val="0"/>
          <w:sz w:val="18"/>
          <w:szCs w:val="18"/>
          <w:lang w:val="en-GB"/>
        </w:rPr>
        <w:t xml:space="preserve"> have” data elements are those considered of interest and useful for some stakeholders</w:t>
      </w:r>
      <w:r>
        <w:rPr>
          <w:rStyle w:val="Fett"/>
          <w:b w:val="0"/>
          <w:sz w:val="18"/>
          <w:szCs w:val="18"/>
          <w:lang w:val="en-GB"/>
        </w:rPr>
        <w:t>, but not essential to all</w:t>
      </w:r>
      <w:r w:rsidRPr="0029175B">
        <w:rPr>
          <w:rStyle w:val="Fett"/>
          <w:b w:val="0"/>
          <w:sz w:val="18"/>
          <w:szCs w:val="18"/>
          <w:lang w:val="en-GB"/>
        </w:rPr>
        <w:t>. In the perspective of regulatory registry s</w:t>
      </w:r>
      <w:r w:rsidR="00C0297A" w:rsidRPr="0029175B">
        <w:rPr>
          <w:rStyle w:val="Fett"/>
          <w:b w:val="0"/>
          <w:sz w:val="18"/>
          <w:szCs w:val="18"/>
          <w:lang w:val="en-GB"/>
        </w:rPr>
        <w:t xml:space="preserve">tudies, </w:t>
      </w:r>
      <w:r w:rsidR="007F3493">
        <w:rPr>
          <w:rStyle w:val="Fett"/>
          <w:b w:val="0"/>
          <w:sz w:val="18"/>
          <w:szCs w:val="18"/>
          <w:lang w:val="en-GB"/>
        </w:rPr>
        <w:t>c</w:t>
      </w:r>
      <w:r>
        <w:rPr>
          <w:rStyle w:val="Fett"/>
          <w:b w:val="0"/>
          <w:sz w:val="18"/>
          <w:szCs w:val="18"/>
          <w:lang w:val="en-GB"/>
        </w:rPr>
        <w:t>rucial</w:t>
      </w:r>
      <w:r w:rsidRPr="0029175B">
        <w:rPr>
          <w:rStyle w:val="Fett"/>
          <w:b w:val="0"/>
          <w:sz w:val="18"/>
          <w:szCs w:val="18"/>
          <w:lang w:val="en-GB"/>
        </w:rPr>
        <w:t xml:space="preserve"> data elements </w:t>
      </w:r>
      <w:r w:rsidR="00C0297A" w:rsidRPr="0029175B">
        <w:rPr>
          <w:rStyle w:val="Fett"/>
          <w:b w:val="0"/>
          <w:sz w:val="18"/>
          <w:szCs w:val="18"/>
          <w:lang w:val="en-GB"/>
        </w:rPr>
        <w:t xml:space="preserve">should </w:t>
      </w:r>
      <w:r w:rsidRPr="0029175B">
        <w:rPr>
          <w:rStyle w:val="Fett"/>
          <w:b w:val="0"/>
          <w:sz w:val="18"/>
          <w:szCs w:val="18"/>
          <w:lang w:val="en-GB"/>
        </w:rPr>
        <w:t xml:space="preserve">include the following information: </w:t>
      </w:r>
    </w:p>
    <w:p w:rsidR="00AD4CBC" w:rsidRPr="0029175B" w:rsidRDefault="00D64049" w:rsidP="00AD4CBC">
      <w:pPr>
        <w:pStyle w:val="Default"/>
        <w:numPr>
          <w:ilvl w:val="0"/>
          <w:numId w:val="12"/>
        </w:numPr>
        <w:spacing w:after="140" w:line="280" w:lineRule="exact"/>
        <w:rPr>
          <w:rStyle w:val="Fett"/>
          <w:b w:val="0"/>
          <w:sz w:val="18"/>
          <w:szCs w:val="18"/>
          <w:lang w:val="en-GB"/>
        </w:rPr>
      </w:pPr>
      <w:r w:rsidRPr="0029175B">
        <w:rPr>
          <w:rStyle w:val="Fett"/>
          <w:b w:val="0"/>
          <w:sz w:val="18"/>
          <w:szCs w:val="18"/>
          <w:lang w:val="en-GB"/>
        </w:rPr>
        <w:t xml:space="preserve">Patient data: </w:t>
      </w:r>
      <w:r w:rsidR="005967DE">
        <w:rPr>
          <w:rStyle w:val="Fett"/>
          <w:b w:val="0"/>
          <w:sz w:val="18"/>
          <w:szCs w:val="18"/>
          <w:lang w:val="en-GB"/>
        </w:rPr>
        <w:t>date of birth,</w:t>
      </w:r>
      <w:r w:rsidRPr="0029175B">
        <w:rPr>
          <w:rStyle w:val="Fett"/>
          <w:b w:val="0"/>
          <w:sz w:val="18"/>
          <w:szCs w:val="18"/>
          <w:lang w:val="en-GB"/>
        </w:rPr>
        <w:t xml:space="preserve"> gender, height, weight, indicator of socio-economic status (e.g. highest educational level com</w:t>
      </w:r>
      <w:r w:rsidR="007413B2">
        <w:rPr>
          <w:rStyle w:val="Fett"/>
          <w:b w:val="0"/>
          <w:sz w:val="18"/>
          <w:szCs w:val="18"/>
          <w:lang w:val="en-GB"/>
        </w:rPr>
        <w:t>pleted), smoking status, centre;</w:t>
      </w:r>
    </w:p>
    <w:p w:rsidR="00AD4CBC" w:rsidRPr="0029175B" w:rsidRDefault="00D64049" w:rsidP="00AD4CBC">
      <w:pPr>
        <w:pStyle w:val="Default"/>
        <w:numPr>
          <w:ilvl w:val="0"/>
          <w:numId w:val="12"/>
        </w:numPr>
        <w:spacing w:after="140" w:line="280" w:lineRule="exact"/>
        <w:rPr>
          <w:rStyle w:val="Fett"/>
          <w:b w:val="0"/>
          <w:sz w:val="18"/>
          <w:szCs w:val="18"/>
          <w:lang w:val="en-GB"/>
        </w:rPr>
      </w:pPr>
      <w:r w:rsidRPr="0029175B">
        <w:rPr>
          <w:rStyle w:val="Fett"/>
          <w:b w:val="0"/>
          <w:sz w:val="18"/>
          <w:szCs w:val="18"/>
          <w:lang w:val="en-GB"/>
        </w:rPr>
        <w:t>Disease: list of core data elements to be determined for each disease with core data on diagnosis (date, test, result), grade/severity/burden of disease, important milestones in disease progression</w:t>
      </w:r>
      <w:r w:rsidR="00CD5D8E">
        <w:rPr>
          <w:rStyle w:val="Fett"/>
          <w:b w:val="0"/>
          <w:sz w:val="18"/>
          <w:szCs w:val="18"/>
          <w:lang w:val="en-GB"/>
        </w:rPr>
        <w:t xml:space="preserve"> and</w:t>
      </w:r>
      <w:r w:rsidR="00CD5D8E" w:rsidRPr="0029175B">
        <w:rPr>
          <w:rStyle w:val="Fett"/>
          <w:b w:val="0"/>
          <w:sz w:val="18"/>
          <w:szCs w:val="18"/>
          <w:lang w:val="en-GB"/>
        </w:rPr>
        <w:t xml:space="preserve"> </w:t>
      </w:r>
      <w:r w:rsidRPr="0029175B">
        <w:rPr>
          <w:rStyle w:val="Fett"/>
          <w:b w:val="0"/>
          <w:sz w:val="18"/>
          <w:szCs w:val="18"/>
          <w:lang w:val="en-GB"/>
        </w:rPr>
        <w:t>core disease outcomes (e.g. relapse, disabilities, functional status, quality of life measure,</w:t>
      </w:r>
      <w:r w:rsidR="00D41D1F">
        <w:rPr>
          <w:rStyle w:val="Fett"/>
          <w:b w:val="0"/>
          <w:sz w:val="18"/>
          <w:szCs w:val="18"/>
          <w:lang w:val="en-GB"/>
        </w:rPr>
        <w:t xml:space="preserve"> cause of</w:t>
      </w:r>
      <w:r w:rsidRPr="0029175B">
        <w:rPr>
          <w:rStyle w:val="Fett"/>
          <w:b w:val="0"/>
          <w:sz w:val="18"/>
          <w:szCs w:val="18"/>
          <w:lang w:val="en-GB"/>
        </w:rPr>
        <w:t xml:space="preserve"> death)</w:t>
      </w:r>
      <w:r w:rsidR="007413B2">
        <w:rPr>
          <w:rStyle w:val="Fett"/>
          <w:b w:val="0"/>
          <w:sz w:val="18"/>
          <w:szCs w:val="18"/>
          <w:lang w:val="en-GB"/>
        </w:rPr>
        <w:t>;</w:t>
      </w:r>
    </w:p>
    <w:p w:rsidR="00AD4CBC" w:rsidRPr="0029175B" w:rsidRDefault="00D64049" w:rsidP="00AD4CBC">
      <w:pPr>
        <w:pStyle w:val="Default"/>
        <w:numPr>
          <w:ilvl w:val="0"/>
          <w:numId w:val="12"/>
        </w:numPr>
        <w:spacing w:after="140" w:line="280" w:lineRule="exact"/>
        <w:rPr>
          <w:rStyle w:val="Fett"/>
          <w:b w:val="0"/>
          <w:sz w:val="18"/>
          <w:szCs w:val="18"/>
          <w:lang w:val="en-GB"/>
        </w:rPr>
      </w:pPr>
      <w:r w:rsidRPr="0029175B">
        <w:rPr>
          <w:rStyle w:val="Fett"/>
          <w:b w:val="0"/>
          <w:sz w:val="18"/>
          <w:szCs w:val="18"/>
          <w:lang w:val="en-GB"/>
        </w:rPr>
        <w:t>Co-morbidities: list of co-morbidities differentiating past and current ones</w:t>
      </w:r>
      <w:r w:rsidR="007413B2">
        <w:rPr>
          <w:rStyle w:val="Fett"/>
          <w:b w:val="0"/>
          <w:sz w:val="18"/>
          <w:szCs w:val="18"/>
          <w:lang w:val="en-GB"/>
        </w:rPr>
        <w:t>;</w:t>
      </w:r>
    </w:p>
    <w:p w:rsidR="00AD4CBC" w:rsidRPr="0029175B" w:rsidRDefault="00D64049" w:rsidP="00AD4CBC">
      <w:pPr>
        <w:pStyle w:val="Default"/>
        <w:numPr>
          <w:ilvl w:val="0"/>
          <w:numId w:val="12"/>
        </w:numPr>
        <w:spacing w:after="140" w:line="280" w:lineRule="exact"/>
        <w:rPr>
          <w:rStyle w:val="Fett"/>
          <w:b w:val="0"/>
          <w:sz w:val="18"/>
          <w:szCs w:val="18"/>
          <w:lang w:val="en-GB"/>
        </w:rPr>
      </w:pPr>
      <w:r w:rsidRPr="0029175B">
        <w:rPr>
          <w:rStyle w:val="Fett"/>
          <w:b w:val="0"/>
          <w:sz w:val="18"/>
          <w:szCs w:val="18"/>
          <w:lang w:val="en-GB"/>
        </w:rPr>
        <w:t xml:space="preserve">Disease-related treatments: substance, brand name, start and end dates, reason for discontinuation, important </w:t>
      </w:r>
      <w:r w:rsidR="003F42CF">
        <w:rPr>
          <w:rStyle w:val="Fett"/>
          <w:b w:val="0"/>
          <w:sz w:val="18"/>
          <w:szCs w:val="18"/>
          <w:lang w:val="en-GB"/>
        </w:rPr>
        <w:t>stages</w:t>
      </w:r>
      <w:r w:rsidR="003F42CF" w:rsidRPr="0029175B">
        <w:rPr>
          <w:rStyle w:val="Fett"/>
          <w:b w:val="0"/>
          <w:sz w:val="18"/>
          <w:szCs w:val="18"/>
          <w:lang w:val="en-GB"/>
        </w:rPr>
        <w:t xml:space="preserve"> </w:t>
      </w:r>
      <w:r w:rsidRPr="0029175B">
        <w:rPr>
          <w:rStyle w:val="Fett"/>
          <w:b w:val="0"/>
          <w:sz w:val="18"/>
          <w:szCs w:val="18"/>
          <w:lang w:val="en-GB"/>
        </w:rPr>
        <w:t>in response to treatment, dose, route, schedule</w:t>
      </w:r>
      <w:r w:rsidR="007413B2">
        <w:rPr>
          <w:rStyle w:val="Fett"/>
          <w:b w:val="0"/>
          <w:sz w:val="18"/>
          <w:szCs w:val="18"/>
          <w:lang w:val="en-GB"/>
        </w:rPr>
        <w:t>;</w:t>
      </w:r>
    </w:p>
    <w:p w:rsidR="00AD4CBC" w:rsidRPr="0029175B" w:rsidRDefault="00D64049" w:rsidP="00AD4CBC">
      <w:pPr>
        <w:pStyle w:val="Default"/>
        <w:numPr>
          <w:ilvl w:val="0"/>
          <w:numId w:val="12"/>
        </w:numPr>
        <w:spacing w:after="140" w:line="280" w:lineRule="exact"/>
        <w:rPr>
          <w:rStyle w:val="Fett"/>
          <w:b w:val="0"/>
          <w:sz w:val="18"/>
          <w:szCs w:val="18"/>
          <w:lang w:val="en-GB"/>
        </w:rPr>
      </w:pPr>
      <w:r w:rsidRPr="0029175B">
        <w:rPr>
          <w:rStyle w:val="Fett"/>
          <w:b w:val="0"/>
          <w:sz w:val="18"/>
          <w:szCs w:val="18"/>
          <w:lang w:val="en-GB"/>
        </w:rPr>
        <w:t>Other therapies: indication, start and end dates, dose, route, schedule</w:t>
      </w:r>
      <w:r w:rsidR="007413B2">
        <w:rPr>
          <w:rStyle w:val="Fett"/>
          <w:b w:val="0"/>
          <w:sz w:val="18"/>
          <w:szCs w:val="18"/>
          <w:lang w:val="en-GB"/>
        </w:rPr>
        <w:t>;</w:t>
      </w:r>
    </w:p>
    <w:p w:rsidR="00AD4CBC" w:rsidRPr="0029175B" w:rsidRDefault="00D64049" w:rsidP="00AD4CBC">
      <w:pPr>
        <w:pStyle w:val="Default"/>
        <w:numPr>
          <w:ilvl w:val="0"/>
          <w:numId w:val="12"/>
        </w:numPr>
        <w:spacing w:after="140" w:line="280" w:lineRule="exact"/>
        <w:rPr>
          <w:rStyle w:val="Fett"/>
          <w:b w:val="0"/>
          <w:sz w:val="18"/>
          <w:szCs w:val="18"/>
          <w:lang w:val="en-GB"/>
        </w:rPr>
      </w:pPr>
      <w:r w:rsidRPr="0029175B">
        <w:rPr>
          <w:rStyle w:val="Fett"/>
          <w:b w:val="0"/>
          <w:sz w:val="18"/>
          <w:szCs w:val="18"/>
          <w:lang w:val="en-GB"/>
        </w:rPr>
        <w:t>Adverse events of special interest and serious suspected ad</w:t>
      </w:r>
      <w:r w:rsidR="001E1E7D" w:rsidRPr="0029175B">
        <w:rPr>
          <w:rStyle w:val="Fett"/>
          <w:b w:val="0"/>
          <w:sz w:val="18"/>
          <w:szCs w:val="18"/>
          <w:lang w:val="en-GB"/>
        </w:rPr>
        <w:t>verse reactions: adverse event MedDRA terms</w:t>
      </w:r>
      <w:r w:rsidRPr="0029175B">
        <w:rPr>
          <w:rStyle w:val="Fett"/>
          <w:b w:val="0"/>
          <w:sz w:val="18"/>
          <w:szCs w:val="18"/>
          <w:lang w:val="en-GB"/>
        </w:rPr>
        <w:t>, start and end dates, treatment suspected</w:t>
      </w:r>
      <w:r w:rsidR="001E1E7D" w:rsidRPr="0029175B">
        <w:rPr>
          <w:rStyle w:val="Fett"/>
          <w:b w:val="0"/>
          <w:sz w:val="18"/>
          <w:szCs w:val="18"/>
          <w:lang w:val="en-GB"/>
        </w:rPr>
        <w:t xml:space="preserve"> to be associated, seriousness,</w:t>
      </w:r>
      <w:r w:rsidRPr="0029175B">
        <w:rPr>
          <w:rStyle w:val="Fett"/>
          <w:b w:val="0"/>
          <w:sz w:val="18"/>
          <w:szCs w:val="18"/>
          <w:lang w:val="en-GB"/>
        </w:rPr>
        <w:t xml:space="preserve"> </w:t>
      </w:r>
      <w:r w:rsidR="001E1E7D" w:rsidRPr="0029175B">
        <w:rPr>
          <w:rStyle w:val="Fett"/>
          <w:b w:val="0"/>
          <w:sz w:val="18"/>
          <w:szCs w:val="18"/>
          <w:lang w:val="en-GB"/>
        </w:rPr>
        <w:t>dechallenge</w:t>
      </w:r>
      <w:r w:rsidRPr="0029175B">
        <w:rPr>
          <w:rStyle w:val="Fett"/>
          <w:b w:val="0"/>
          <w:sz w:val="18"/>
          <w:szCs w:val="18"/>
          <w:lang w:val="en-GB"/>
        </w:rPr>
        <w:t>, outcome of adverse event</w:t>
      </w:r>
      <w:r w:rsidR="007413B2">
        <w:rPr>
          <w:rStyle w:val="Fett"/>
          <w:b w:val="0"/>
          <w:sz w:val="18"/>
          <w:szCs w:val="18"/>
          <w:lang w:val="en-GB"/>
        </w:rPr>
        <w:t>;</w:t>
      </w:r>
    </w:p>
    <w:p w:rsidR="00AD4CBC" w:rsidRPr="0029175B" w:rsidRDefault="00D64049" w:rsidP="00AD4CBC">
      <w:pPr>
        <w:pStyle w:val="Default"/>
        <w:numPr>
          <w:ilvl w:val="0"/>
          <w:numId w:val="12"/>
        </w:numPr>
        <w:spacing w:after="140" w:line="280" w:lineRule="exact"/>
        <w:rPr>
          <w:rStyle w:val="Fett"/>
          <w:b w:val="0"/>
          <w:sz w:val="18"/>
          <w:szCs w:val="18"/>
          <w:lang w:val="en-GB"/>
        </w:rPr>
      </w:pPr>
      <w:r w:rsidRPr="0029175B">
        <w:rPr>
          <w:rStyle w:val="Fett"/>
          <w:b w:val="0"/>
          <w:sz w:val="18"/>
          <w:szCs w:val="18"/>
          <w:lang w:val="en-GB"/>
        </w:rPr>
        <w:t>Pregnancy: date of start of pregnancy, pregnancy outcome (spontaneous abortion, live birth, etc.).</w:t>
      </w:r>
    </w:p>
    <w:p w:rsidR="00AD4CBC" w:rsidRPr="008B040E" w:rsidRDefault="00D64049" w:rsidP="008B040E">
      <w:pPr>
        <w:pStyle w:val="Heading2Agency"/>
        <w:rPr>
          <w:rStyle w:val="Fett"/>
          <w:b/>
          <w:bCs/>
        </w:rPr>
      </w:pPr>
      <w:bookmarkStart w:id="88" w:name="_Toc528934930"/>
      <w:r w:rsidRPr="008B040E">
        <w:rPr>
          <w:rStyle w:val="Fett"/>
          <w:b/>
          <w:bCs/>
        </w:rPr>
        <w:t>Terminologies</w:t>
      </w:r>
      <w:bookmarkEnd w:id="88"/>
    </w:p>
    <w:p w:rsidR="00434B3F"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 xml:space="preserve">As part of the harmonisation between registries covering a same disease, </w:t>
      </w:r>
      <w:r w:rsidR="007E2F1F">
        <w:rPr>
          <w:rStyle w:val="Fett"/>
          <w:b w:val="0"/>
          <w:sz w:val="18"/>
          <w:szCs w:val="18"/>
          <w:lang w:val="en-GB"/>
        </w:rPr>
        <w:t>international</w:t>
      </w:r>
      <w:r w:rsidRPr="0029175B">
        <w:rPr>
          <w:rStyle w:val="Fett"/>
          <w:b w:val="0"/>
          <w:sz w:val="18"/>
          <w:szCs w:val="18"/>
          <w:lang w:val="en-GB"/>
        </w:rPr>
        <w:t xml:space="preserve"> terminologies should be used for diseases, diagnostic tests, symptoms, medicinal products, substances and adverse events. Table 3 provides examples of recommended international terminologies for different data elements. </w:t>
      </w:r>
      <w:r w:rsidR="00CB38CF">
        <w:rPr>
          <w:rStyle w:val="Fett"/>
          <w:b w:val="0"/>
          <w:sz w:val="18"/>
          <w:szCs w:val="18"/>
          <w:lang w:val="en-GB"/>
        </w:rPr>
        <w:t xml:space="preserve">Where national or local terminologies are used, they should be mapped to international </w:t>
      </w:r>
      <w:r w:rsidR="00E813C5">
        <w:rPr>
          <w:rStyle w:val="Fett"/>
          <w:b w:val="0"/>
          <w:sz w:val="18"/>
          <w:szCs w:val="18"/>
          <w:lang w:val="en-GB"/>
        </w:rPr>
        <w:t>terminologies</w:t>
      </w:r>
      <w:r w:rsidR="007E2F1F">
        <w:rPr>
          <w:rStyle w:val="Fett"/>
          <w:b w:val="0"/>
          <w:sz w:val="18"/>
          <w:szCs w:val="18"/>
          <w:lang w:val="en-GB"/>
        </w:rPr>
        <w:t>.</w:t>
      </w:r>
      <w:r w:rsidR="00CB38CF">
        <w:rPr>
          <w:rStyle w:val="Fett"/>
          <w:b w:val="0"/>
          <w:sz w:val="18"/>
          <w:szCs w:val="18"/>
          <w:lang w:val="en-GB"/>
        </w:rPr>
        <w:t xml:space="preserve"> </w:t>
      </w:r>
    </w:p>
    <w:p w:rsidR="00B9078A" w:rsidRDefault="00D64049">
      <w:pPr>
        <w:rPr>
          <w:rStyle w:val="Fett"/>
          <w:rFonts w:eastAsia="Calibri" w:cs="Verdana"/>
          <w:b w:val="0"/>
          <w:color w:val="000000"/>
          <w:lang w:eastAsia="en-US"/>
        </w:rPr>
      </w:pPr>
      <w:r>
        <w:rPr>
          <w:rStyle w:val="Fett"/>
          <w:b w:val="0"/>
        </w:rPr>
        <w:br w:type="page"/>
      </w:r>
    </w:p>
    <w:p w:rsidR="00AD4CBC"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lastRenderedPageBreak/>
        <w:t>Table 3. Examples of recommended international terminologies for disease registries</w:t>
      </w:r>
    </w:p>
    <w:tbl>
      <w:tblPr>
        <w:tblStyle w:val="Tabellenraster"/>
        <w:tblW w:w="10145" w:type="dxa"/>
        <w:tblLook w:val="04A0" w:firstRow="1" w:lastRow="0" w:firstColumn="1" w:lastColumn="0" w:noHBand="0" w:noVBand="1"/>
      </w:tblPr>
      <w:tblGrid>
        <w:gridCol w:w="2718"/>
        <w:gridCol w:w="2560"/>
        <w:gridCol w:w="4867"/>
      </w:tblGrid>
      <w:tr w:rsidR="009A4467" w:rsidTr="000F114C">
        <w:trPr>
          <w:tblHeader/>
        </w:trPr>
        <w:tc>
          <w:tcPr>
            <w:tcW w:w="2718"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Data elements</w:t>
            </w:r>
          </w:p>
        </w:tc>
        <w:tc>
          <w:tcPr>
            <w:tcW w:w="2560"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Standard(s)</w:t>
            </w:r>
          </w:p>
        </w:tc>
        <w:tc>
          <w:tcPr>
            <w:tcW w:w="4867"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Weblinks</w:t>
            </w:r>
          </w:p>
        </w:tc>
      </w:tr>
      <w:tr w:rsidR="009A4467" w:rsidTr="00A35F68">
        <w:tc>
          <w:tcPr>
            <w:tcW w:w="2718" w:type="dxa"/>
          </w:tcPr>
          <w:p w:rsidR="00AD4CBC" w:rsidRPr="003A001A" w:rsidRDefault="00D64049" w:rsidP="00BA706F">
            <w:pPr>
              <w:pStyle w:val="Default"/>
              <w:spacing w:after="80" w:line="240" w:lineRule="exact"/>
              <w:rPr>
                <w:rStyle w:val="Fett"/>
                <w:b w:val="0"/>
                <w:sz w:val="18"/>
                <w:szCs w:val="18"/>
                <w:lang w:val="en-GB"/>
              </w:rPr>
            </w:pPr>
            <w:r w:rsidRPr="003A001A">
              <w:rPr>
                <w:rStyle w:val="Fett"/>
                <w:b w:val="0"/>
                <w:sz w:val="18"/>
                <w:szCs w:val="18"/>
                <w:lang w:val="en-GB"/>
              </w:rPr>
              <w:t>Diseases, diagnostics, symptoms</w:t>
            </w:r>
            <w:r w:rsidR="00BA706F" w:rsidRPr="003A001A">
              <w:rPr>
                <w:rStyle w:val="Fett"/>
                <w:b w:val="0"/>
                <w:sz w:val="18"/>
                <w:szCs w:val="18"/>
                <w:lang w:val="en-GB"/>
              </w:rPr>
              <w:t>, indication for use of medicine</w:t>
            </w:r>
          </w:p>
        </w:tc>
        <w:tc>
          <w:tcPr>
            <w:tcW w:w="2560" w:type="dxa"/>
          </w:tcPr>
          <w:p w:rsidR="000C66B1"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ICD-9, ICD-10, ICD-11</w:t>
            </w:r>
          </w:p>
          <w:p w:rsidR="000C66B1" w:rsidRDefault="00D64049" w:rsidP="00A35F68">
            <w:pPr>
              <w:pStyle w:val="Default"/>
              <w:spacing w:after="80" w:line="240" w:lineRule="exact"/>
              <w:rPr>
                <w:rStyle w:val="Fett"/>
                <w:b w:val="0"/>
                <w:sz w:val="18"/>
                <w:szCs w:val="18"/>
                <w:lang w:val="en-GB"/>
              </w:rPr>
            </w:pPr>
            <w:r>
              <w:rPr>
                <w:rStyle w:val="Fett"/>
                <w:b w:val="0"/>
                <w:sz w:val="18"/>
                <w:szCs w:val="18"/>
                <w:lang w:val="en-GB"/>
              </w:rPr>
              <w:t>ICD-o-3 (cancers)</w:t>
            </w:r>
          </w:p>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 xml:space="preserve"> MedDRA</w:t>
            </w:r>
            <w:r w:rsidR="008474D9" w:rsidRPr="003A001A">
              <w:rPr>
                <w:rStyle w:val="Fett"/>
                <w:b w:val="0"/>
                <w:sz w:val="18"/>
                <w:szCs w:val="18"/>
                <w:vertAlign w:val="superscript"/>
                <w:lang w:val="en-GB"/>
              </w:rPr>
              <w:t>1</w:t>
            </w:r>
            <w:r w:rsidR="00981F93" w:rsidRPr="003A001A">
              <w:rPr>
                <w:rStyle w:val="Fett"/>
                <w:b w:val="0"/>
                <w:sz w:val="18"/>
                <w:szCs w:val="18"/>
                <w:lang w:val="en-GB"/>
              </w:rPr>
              <w:t xml:space="preserve"> </w:t>
            </w:r>
            <w:r w:rsidR="00F41E67" w:rsidRPr="003A001A">
              <w:rPr>
                <w:rStyle w:val="Fett"/>
                <w:b w:val="0"/>
                <w:sz w:val="18"/>
                <w:szCs w:val="18"/>
                <w:highlight w:val="green"/>
                <w:lang w:val="en-GB"/>
              </w:rPr>
              <w:fldChar w:fldCharType="begin"/>
            </w:r>
            <w:r w:rsidR="005D2A6F" w:rsidRPr="003A001A">
              <w:rPr>
                <w:rStyle w:val="Fett"/>
                <w:b w:val="0"/>
                <w:sz w:val="18"/>
                <w:szCs w:val="18"/>
                <w:highlight w:val="green"/>
                <w:lang w:val="en-GB"/>
              </w:rPr>
              <w:instrText xml:space="preserve"> ADDIN ZOTERO_ITEM CSL_CITATION {"citationID":"a1to6d3eg2r","properties":{"formattedCitation":"(11)","plainCitation":"(11)","dontUpdate":true},"citationItems":[{"id":2288,"uris":["http://zotero.org/users/local/tAKp4fcl/items/FDHC372F"],"uri":["http://zotero.org/users/local/tAKp4fcl/items/FDHC372F"],"itemData":{"id":2288,"type":"webpage","title":"SNOMED CT. The Global Language of Healthcare.","URL":"https://www.snomed.org/snomed-ct","author":[{"literal":"SNOMED International"}]}}],"schema":"https://github.com/citation-style-language/schema/raw/master/csl-citation.json"} </w:instrText>
            </w:r>
            <w:r w:rsidR="00F41E67" w:rsidRPr="003A001A">
              <w:rPr>
                <w:rStyle w:val="Fett"/>
                <w:b w:val="0"/>
                <w:sz w:val="18"/>
                <w:szCs w:val="18"/>
                <w:highlight w:val="green"/>
                <w:lang w:val="en-GB"/>
              </w:rPr>
              <w:fldChar w:fldCharType="end"/>
            </w:r>
            <w:r w:rsidRPr="003A001A">
              <w:rPr>
                <w:rStyle w:val="Fett"/>
                <w:b w:val="0"/>
                <w:sz w:val="18"/>
                <w:szCs w:val="18"/>
                <w:lang w:val="en-GB"/>
              </w:rPr>
              <w:t xml:space="preserve"> </w:t>
            </w:r>
          </w:p>
          <w:p w:rsidR="00AD4CBC" w:rsidRPr="003A001A" w:rsidRDefault="00AD4CBC" w:rsidP="00A35F68">
            <w:pPr>
              <w:pStyle w:val="Default"/>
              <w:spacing w:after="80" w:line="240" w:lineRule="exact"/>
              <w:rPr>
                <w:rStyle w:val="Fett"/>
                <w:b w:val="0"/>
                <w:sz w:val="18"/>
                <w:szCs w:val="18"/>
                <w:lang w:val="en-GB"/>
              </w:rPr>
            </w:pPr>
          </w:p>
        </w:tc>
        <w:tc>
          <w:tcPr>
            <w:tcW w:w="4867" w:type="dxa"/>
          </w:tcPr>
          <w:p w:rsidR="00AD4CBC" w:rsidRDefault="00715D5C" w:rsidP="00A35F68">
            <w:pPr>
              <w:pStyle w:val="Default"/>
              <w:spacing w:after="80" w:line="240" w:lineRule="exact"/>
              <w:rPr>
                <w:rStyle w:val="Hyperlink"/>
                <w:sz w:val="18"/>
                <w:szCs w:val="18"/>
                <w:lang w:val="en-GB"/>
              </w:rPr>
            </w:pPr>
            <w:hyperlink r:id="rId10" w:history="1">
              <w:r w:rsidR="00AE534D" w:rsidRPr="003A001A">
                <w:rPr>
                  <w:rStyle w:val="Hyperlink"/>
                  <w:sz w:val="18"/>
                  <w:szCs w:val="18"/>
                  <w:lang w:val="en-GB"/>
                </w:rPr>
                <w:t>http://www.who.int/classifications/icd/en/</w:t>
              </w:r>
            </w:hyperlink>
          </w:p>
          <w:p w:rsidR="000C66B1" w:rsidRDefault="00715D5C" w:rsidP="00A35F68">
            <w:pPr>
              <w:pStyle w:val="Default"/>
              <w:spacing w:after="80" w:line="240" w:lineRule="exact"/>
              <w:rPr>
                <w:rStyle w:val="Fett"/>
                <w:b w:val="0"/>
                <w:sz w:val="18"/>
                <w:szCs w:val="18"/>
                <w:lang w:val="en-GB"/>
              </w:rPr>
            </w:pPr>
            <w:hyperlink r:id="rId11" w:history="1">
              <w:r w:rsidR="0071261E" w:rsidRPr="00640899">
                <w:rPr>
                  <w:rStyle w:val="Hyperlink"/>
                  <w:sz w:val="18"/>
                  <w:szCs w:val="18"/>
                  <w:lang w:val="en-GB"/>
                </w:rPr>
                <w:t>http://codes.iarc.fr/</w:t>
              </w:r>
            </w:hyperlink>
          </w:p>
          <w:p w:rsidR="00AD4CBC" w:rsidRPr="003A001A" w:rsidRDefault="00715D5C" w:rsidP="00A35F68">
            <w:pPr>
              <w:pStyle w:val="Default"/>
              <w:spacing w:after="80" w:line="240" w:lineRule="exact"/>
              <w:rPr>
                <w:rStyle w:val="Fett"/>
                <w:b w:val="0"/>
                <w:sz w:val="18"/>
                <w:szCs w:val="18"/>
                <w:lang w:val="en-GB"/>
              </w:rPr>
            </w:pPr>
            <w:hyperlink r:id="rId12" w:history="1">
              <w:r w:rsidR="00AE534D" w:rsidRPr="003A001A">
                <w:rPr>
                  <w:rStyle w:val="Hyperlink"/>
                  <w:sz w:val="18"/>
                  <w:szCs w:val="18"/>
                  <w:lang w:val="en-GB"/>
                </w:rPr>
                <w:t>https://www.meddra.org/</w:t>
              </w:r>
            </w:hyperlink>
          </w:p>
        </w:tc>
      </w:tr>
      <w:tr w:rsidR="009A4467" w:rsidTr="00A35F68">
        <w:tc>
          <w:tcPr>
            <w:tcW w:w="2718" w:type="dxa"/>
          </w:tcPr>
          <w:p w:rsidR="00AD4CBC" w:rsidRPr="003A001A" w:rsidRDefault="00D64049" w:rsidP="00581A20">
            <w:pPr>
              <w:pStyle w:val="Default"/>
              <w:spacing w:after="80" w:line="240" w:lineRule="exact"/>
              <w:rPr>
                <w:rStyle w:val="Fett"/>
                <w:b w:val="0"/>
                <w:sz w:val="18"/>
                <w:szCs w:val="18"/>
                <w:lang w:val="en-GB"/>
              </w:rPr>
            </w:pPr>
            <w:r w:rsidRPr="003A001A">
              <w:rPr>
                <w:rStyle w:val="Fett"/>
                <w:b w:val="0"/>
                <w:sz w:val="18"/>
                <w:szCs w:val="18"/>
                <w:lang w:val="en-GB"/>
              </w:rPr>
              <w:t>Rare disorders</w:t>
            </w:r>
            <w:r w:rsidR="00581A20" w:rsidRPr="003A001A">
              <w:rPr>
                <w:rStyle w:val="Fett"/>
                <w:b w:val="0"/>
                <w:sz w:val="18"/>
                <w:szCs w:val="18"/>
                <w:lang w:val="en-GB"/>
              </w:rPr>
              <w:t xml:space="preserve"> (d</w:t>
            </w:r>
            <w:r w:rsidRPr="003A001A">
              <w:rPr>
                <w:rStyle w:val="Fett"/>
                <w:b w:val="0"/>
                <w:sz w:val="18"/>
                <w:szCs w:val="18"/>
                <w:lang w:val="en-GB"/>
              </w:rPr>
              <w:t>isease, malformation syndrome, clinical syndrome, morphological or biological anomaly or particular clinical situation in the course of a disorder).</w:t>
            </w:r>
          </w:p>
        </w:tc>
        <w:tc>
          <w:tcPr>
            <w:tcW w:w="2560"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Orphadata</w:t>
            </w:r>
          </w:p>
          <w:p w:rsidR="00AD4CBC" w:rsidRPr="003A001A" w:rsidRDefault="00D64049" w:rsidP="00581A20">
            <w:pPr>
              <w:pStyle w:val="Default"/>
              <w:spacing w:after="80" w:line="240" w:lineRule="exact"/>
              <w:rPr>
                <w:rStyle w:val="Fett"/>
                <w:b w:val="0"/>
                <w:sz w:val="18"/>
                <w:szCs w:val="18"/>
                <w:lang w:val="en-GB"/>
              </w:rPr>
            </w:pPr>
            <w:r w:rsidRPr="003A001A">
              <w:rPr>
                <w:sz w:val="18"/>
                <w:szCs w:val="18"/>
                <w:lang w:val="en-GB"/>
              </w:rPr>
              <w:t>(entries are cross-referenced with ICD-10, OMIM, UMLS, MeSH, MedDRA)</w:t>
            </w:r>
          </w:p>
        </w:tc>
        <w:tc>
          <w:tcPr>
            <w:tcW w:w="4867" w:type="dxa"/>
          </w:tcPr>
          <w:p w:rsidR="00AD4CBC" w:rsidRPr="003A001A" w:rsidRDefault="00715D5C" w:rsidP="00A35F68">
            <w:pPr>
              <w:pStyle w:val="Default"/>
              <w:spacing w:after="80" w:line="240" w:lineRule="exact"/>
              <w:rPr>
                <w:rStyle w:val="Fett"/>
                <w:b w:val="0"/>
                <w:sz w:val="18"/>
                <w:szCs w:val="18"/>
                <w:lang w:val="en-GB"/>
              </w:rPr>
            </w:pPr>
            <w:hyperlink r:id="rId13" w:history="1">
              <w:r w:rsidR="00AE534D" w:rsidRPr="003A001A">
                <w:rPr>
                  <w:rStyle w:val="Hyperlink"/>
                  <w:sz w:val="18"/>
                  <w:szCs w:val="18"/>
                  <w:lang w:val="en-GB"/>
                </w:rPr>
                <w:t>http://www.orphadata.org/cgi-bin/inc/product1.inc.php</w:t>
              </w:r>
            </w:hyperlink>
          </w:p>
          <w:p w:rsidR="00AD4CBC" w:rsidRPr="003A001A" w:rsidRDefault="00AD4CBC" w:rsidP="00A35F68">
            <w:pPr>
              <w:pStyle w:val="Default"/>
              <w:spacing w:after="80" w:line="240" w:lineRule="exact"/>
              <w:rPr>
                <w:rStyle w:val="Fett"/>
                <w:b w:val="0"/>
                <w:sz w:val="18"/>
                <w:szCs w:val="18"/>
                <w:lang w:val="en-GB"/>
              </w:rPr>
            </w:pPr>
          </w:p>
        </w:tc>
      </w:tr>
      <w:tr w:rsidR="009A4467" w:rsidTr="00A35F68">
        <w:tc>
          <w:tcPr>
            <w:tcW w:w="2718"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Medicinal products</w:t>
            </w:r>
          </w:p>
        </w:tc>
        <w:tc>
          <w:tcPr>
            <w:tcW w:w="2560"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Article 57 database (EEA)</w:t>
            </w:r>
          </w:p>
          <w:p w:rsidR="004A08F3" w:rsidRPr="003A001A" w:rsidRDefault="00D64049" w:rsidP="005E43C4">
            <w:pPr>
              <w:pStyle w:val="Default"/>
              <w:spacing w:after="80" w:line="240" w:lineRule="exact"/>
              <w:rPr>
                <w:rStyle w:val="Fett"/>
                <w:b w:val="0"/>
                <w:sz w:val="18"/>
                <w:szCs w:val="18"/>
                <w:lang w:val="en-GB"/>
              </w:rPr>
            </w:pPr>
            <w:r w:rsidRPr="003A001A">
              <w:rPr>
                <w:rStyle w:val="Fett"/>
                <w:b w:val="0"/>
                <w:sz w:val="18"/>
                <w:szCs w:val="18"/>
                <w:lang w:val="en-GB"/>
              </w:rPr>
              <w:t xml:space="preserve">ISO IDMP </w:t>
            </w:r>
            <w:r w:rsidR="00BA706F" w:rsidRPr="003A001A">
              <w:rPr>
                <w:rStyle w:val="Fett"/>
                <w:b w:val="0"/>
                <w:sz w:val="18"/>
                <w:szCs w:val="18"/>
                <w:lang w:val="en-GB"/>
              </w:rPr>
              <w:t xml:space="preserve">standards and related terminologies </w:t>
            </w:r>
            <w:r w:rsidRPr="003A001A">
              <w:rPr>
                <w:rStyle w:val="Fett"/>
                <w:b w:val="0"/>
                <w:sz w:val="18"/>
                <w:szCs w:val="18"/>
                <w:lang w:val="en-GB"/>
              </w:rPr>
              <w:t>(forthcoming)</w:t>
            </w:r>
          </w:p>
        </w:tc>
        <w:tc>
          <w:tcPr>
            <w:tcW w:w="4867" w:type="dxa"/>
          </w:tcPr>
          <w:p w:rsidR="00AD4CBC" w:rsidRPr="003A001A" w:rsidRDefault="00D64049" w:rsidP="00A35F68">
            <w:pPr>
              <w:pStyle w:val="Default"/>
              <w:spacing w:after="80" w:line="240" w:lineRule="exact"/>
              <w:rPr>
                <w:rStyle w:val="Fett"/>
                <w:b w:val="0"/>
                <w:sz w:val="18"/>
                <w:szCs w:val="18"/>
                <w:vertAlign w:val="superscript"/>
                <w:lang w:val="en-GB"/>
              </w:rPr>
            </w:pPr>
            <w:r w:rsidRPr="003A001A">
              <w:rPr>
                <w:rStyle w:val="Fett"/>
                <w:b w:val="0"/>
                <w:sz w:val="18"/>
                <w:szCs w:val="18"/>
                <w:lang w:val="en-GB"/>
              </w:rPr>
              <w:t>EMA website</w:t>
            </w:r>
            <w:r w:rsidR="008474D9" w:rsidRPr="003A001A">
              <w:rPr>
                <w:rStyle w:val="Fett"/>
                <w:b w:val="0"/>
                <w:sz w:val="18"/>
                <w:szCs w:val="18"/>
                <w:vertAlign w:val="superscript"/>
                <w:lang w:val="en-GB"/>
              </w:rPr>
              <w:t>2</w:t>
            </w:r>
          </w:p>
          <w:p w:rsidR="00F73842"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EMA website</w:t>
            </w:r>
            <w:r w:rsidR="008474D9" w:rsidRPr="003A001A">
              <w:rPr>
                <w:rStyle w:val="Fett"/>
                <w:b w:val="0"/>
                <w:sz w:val="18"/>
                <w:szCs w:val="18"/>
                <w:vertAlign w:val="superscript"/>
                <w:lang w:val="en-GB"/>
              </w:rPr>
              <w:t>3</w:t>
            </w:r>
          </w:p>
          <w:p w:rsidR="000B21C8" w:rsidRPr="003A001A" w:rsidRDefault="000B21C8" w:rsidP="00A35F68">
            <w:pPr>
              <w:pStyle w:val="Default"/>
              <w:spacing w:after="80" w:line="240" w:lineRule="exact"/>
              <w:rPr>
                <w:rStyle w:val="Fett"/>
                <w:b w:val="0"/>
                <w:sz w:val="18"/>
                <w:szCs w:val="18"/>
                <w:lang w:val="en-GB"/>
              </w:rPr>
            </w:pPr>
          </w:p>
          <w:p w:rsidR="000B21C8" w:rsidRPr="003A001A" w:rsidRDefault="000B21C8" w:rsidP="00A35F68">
            <w:pPr>
              <w:pStyle w:val="Default"/>
              <w:spacing w:after="80" w:line="240" w:lineRule="exact"/>
              <w:rPr>
                <w:rStyle w:val="Fett"/>
                <w:b w:val="0"/>
                <w:sz w:val="18"/>
                <w:szCs w:val="18"/>
                <w:lang w:val="en-GB"/>
              </w:rPr>
            </w:pPr>
          </w:p>
        </w:tc>
      </w:tr>
      <w:tr w:rsidR="009A4467" w:rsidTr="00A35F68">
        <w:tc>
          <w:tcPr>
            <w:tcW w:w="2718" w:type="dxa"/>
          </w:tcPr>
          <w:p w:rsidR="00AD4CBC" w:rsidRPr="003A001A" w:rsidRDefault="00D64049" w:rsidP="00A35F68">
            <w:pPr>
              <w:pStyle w:val="Default"/>
              <w:spacing w:after="80" w:line="240" w:lineRule="exact"/>
              <w:rPr>
                <w:rStyle w:val="Fett"/>
                <w:b w:val="0"/>
                <w:sz w:val="18"/>
                <w:szCs w:val="18"/>
                <w:lang w:val="en-GB"/>
              </w:rPr>
            </w:pPr>
            <w:r w:rsidRPr="00434B3F">
              <w:rPr>
                <w:rStyle w:val="Fett"/>
                <w:b w:val="0"/>
                <w:sz w:val="18"/>
                <w:szCs w:val="18"/>
                <w:lang w:val="en-GB"/>
              </w:rPr>
              <w:t>AESI,</w:t>
            </w:r>
            <w:r w:rsidRPr="003A001A">
              <w:rPr>
                <w:rStyle w:val="Fett"/>
                <w:b w:val="0"/>
                <w:sz w:val="18"/>
                <w:szCs w:val="18"/>
                <w:lang w:val="en-GB"/>
              </w:rPr>
              <w:t xml:space="preserve"> other a</w:t>
            </w:r>
            <w:r w:rsidR="00CC1D7C" w:rsidRPr="003A001A">
              <w:rPr>
                <w:rStyle w:val="Fett"/>
                <w:b w:val="0"/>
                <w:sz w:val="18"/>
                <w:szCs w:val="18"/>
                <w:lang w:val="en-GB"/>
              </w:rPr>
              <w:t>dverse events, suspected adverse reactions</w:t>
            </w:r>
          </w:p>
        </w:tc>
        <w:tc>
          <w:tcPr>
            <w:tcW w:w="2560"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MedDRA</w:t>
            </w:r>
          </w:p>
        </w:tc>
        <w:tc>
          <w:tcPr>
            <w:tcW w:w="4867" w:type="dxa"/>
          </w:tcPr>
          <w:p w:rsidR="00AD4CBC" w:rsidRPr="003A001A" w:rsidRDefault="00715D5C" w:rsidP="00A35F68">
            <w:pPr>
              <w:pStyle w:val="Default"/>
              <w:spacing w:after="80" w:line="240" w:lineRule="exact"/>
              <w:rPr>
                <w:rStyle w:val="Fett"/>
                <w:b w:val="0"/>
                <w:sz w:val="18"/>
                <w:szCs w:val="18"/>
                <w:lang w:val="en-GB"/>
              </w:rPr>
            </w:pPr>
            <w:hyperlink r:id="rId14" w:history="1">
              <w:r w:rsidR="00961C90" w:rsidRPr="003A001A">
                <w:rPr>
                  <w:rStyle w:val="Hyperlink"/>
                  <w:sz w:val="18"/>
                  <w:szCs w:val="18"/>
                  <w:lang w:val="en-GB"/>
                </w:rPr>
                <w:t>https://www.meddra.org/</w:t>
              </w:r>
            </w:hyperlink>
          </w:p>
        </w:tc>
      </w:tr>
      <w:tr w:rsidR="009A4467" w:rsidTr="00A35F68">
        <w:tc>
          <w:tcPr>
            <w:tcW w:w="2718" w:type="dxa"/>
          </w:tcPr>
          <w:p w:rsidR="00AD4CBC" w:rsidRPr="003A001A" w:rsidRDefault="00D64049" w:rsidP="00A35F68">
            <w:pPr>
              <w:pStyle w:val="Default"/>
              <w:spacing w:after="80" w:line="240" w:lineRule="exact"/>
              <w:rPr>
                <w:rStyle w:val="Fett"/>
                <w:b w:val="0"/>
                <w:sz w:val="18"/>
                <w:szCs w:val="18"/>
                <w:lang w:val="en-GB"/>
              </w:rPr>
            </w:pPr>
            <w:r w:rsidRPr="003A001A">
              <w:rPr>
                <w:bCs/>
                <w:sz w:val="18"/>
                <w:szCs w:val="18"/>
                <w:lang w:val="en-GB"/>
              </w:rPr>
              <w:t>Routes of administration, pharmaceutical dosage forms, packaging, units of administration</w:t>
            </w:r>
          </w:p>
        </w:tc>
        <w:tc>
          <w:tcPr>
            <w:tcW w:w="2560"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EDQM Standard Terms Database</w:t>
            </w:r>
          </w:p>
        </w:tc>
        <w:tc>
          <w:tcPr>
            <w:tcW w:w="4867" w:type="dxa"/>
          </w:tcPr>
          <w:p w:rsidR="00AD4CBC" w:rsidRDefault="00715D5C" w:rsidP="00A35F68">
            <w:pPr>
              <w:pStyle w:val="Default"/>
              <w:spacing w:after="80" w:line="240" w:lineRule="exact"/>
              <w:rPr>
                <w:rStyle w:val="Fett"/>
                <w:b w:val="0"/>
                <w:sz w:val="18"/>
                <w:szCs w:val="18"/>
                <w:lang w:val="en-GB"/>
              </w:rPr>
            </w:pPr>
            <w:hyperlink r:id="rId15" w:history="1">
              <w:r w:rsidR="00961C90" w:rsidRPr="00144F64">
                <w:rPr>
                  <w:rStyle w:val="Hyperlink"/>
                  <w:sz w:val="18"/>
                  <w:szCs w:val="18"/>
                  <w:lang w:val="en-GB"/>
                </w:rPr>
                <w:t>https://www.edqm.eu/en/standard-terms-database</w:t>
              </w:r>
            </w:hyperlink>
          </w:p>
          <w:p w:rsidR="003A001A" w:rsidRPr="003A001A" w:rsidRDefault="003A001A" w:rsidP="00A35F68">
            <w:pPr>
              <w:pStyle w:val="Default"/>
              <w:spacing w:after="80" w:line="240" w:lineRule="exact"/>
              <w:rPr>
                <w:rStyle w:val="Fett"/>
                <w:b w:val="0"/>
                <w:sz w:val="18"/>
                <w:szCs w:val="18"/>
                <w:lang w:val="en-GB"/>
              </w:rPr>
            </w:pPr>
          </w:p>
        </w:tc>
      </w:tr>
      <w:tr w:rsidR="009A4467" w:rsidTr="00A35F68">
        <w:tc>
          <w:tcPr>
            <w:tcW w:w="2718" w:type="dxa"/>
          </w:tcPr>
          <w:p w:rsidR="00AD4CBC" w:rsidRPr="003A001A" w:rsidRDefault="00D64049" w:rsidP="00A35F68">
            <w:pPr>
              <w:pStyle w:val="Default"/>
              <w:spacing w:after="80" w:line="240" w:lineRule="exact"/>
              <w:rPr>
                <w:bCs/>
                <w:sz w:val="18"/>
                <w:szCs w:val="18"/>
                <w:lang w:val="en-GB"/>
              </w:rPr>
            </w:pPr>
            <w:r w:rsidRPr="003A001A">
              <w:rPr>
                <w:sz w:val="18"/>
                <w:szCs w:val="18"/>
                <w:lang w:val="en-GB"/>
              </w:rPr>
              <w:t>Test result</w:t>
            </w:r>
            <w:r w:rsidR="00411032" w:rsidRPr="003A001A">
              <w:rPr>
                <w:sz w:val="18"/>
                <w:szCs w:val="18"/>
                <w:lang w:val="en-GB"/>
              </w:rPr>
              <w:t>s</w:t>
            </w:r>
            <w:r w:rsidRPr="003A001A">
              <w:rPr>
                <w:sz w:val="18"/>
                <w:szCs w:val="18"/>
                <w:lang w:val="en-GB"/>
              </w:rPr>
              <w:t xml:space="preserve"> units</w:t>
            </w:r>
          </w:p>
        </w:tc>
        <w:tc>
          <w:tcPr>
            <w:tcW w:w="2560" w:type="dxa"/>
          </w:tcPr>
          <w:p w:rsidR="00AD4CBC" w:rsidRPr="003A001A" w:rsidRDefault="00D64049" w:rsidP="00A35F68">
            <w:pPr>
              <w:pStyle w:val="Default"/>
              <w:spacing w:after="80" w:line="240" w:lineRule="exact"/>
              <w:rPr>
                <w:rStyle w:val="Fett"/>
                <w:b w:val="0"/>
                <w:sz w:val="18"/>
                <w:szCs w:val="18"/>
                <w:lang w:val="en-GB"/>
              </w:rPr>
            </w:pPr>
            <w:r w:rsidRPr="003A001A">
              <w:rPr>
                <w:rStyle w:val="Fett"/>
                <w:b w:val="0"/>
                <w:sz w:val="18"/>
                <w:szCs w:val="18"/>
                <w:lang w:val="en-GB"/>
              </w:rPr>
              <w:t>Unified Code for Units of Measure (UCUM)</w:t>
            </w:r>
          </w:p>
        </w:tc>
        <w:tc>
          <w:tcPr>
            <w:tcW w:w="4867" w:type="dxa"/>
          </w:tcPr>
          <w:p w:rsidR="003A001A" w:rsidRPr="003A001A" w:rsidRDefault="00715D5C" w:rsidP="003A001A">
            <w:pPr>
              <w:pStyle w:val="Default"/>
              <w:spacing w:after="80" w:line="240" w:lineRule="exact"/>
              <w:rPr>
                <w:rStyle w:val="Fett"/>
                <w:b w:val="0"/>
                <w:sz w:val="18"/>
                <w:szCs w:val="18"/>
                <w:lang w:val="en-GB"/>
              </w:rPr>
            </w:pPr>
            <w:hyperlink r:id="rId16" w:history="1">
              <w:r w:rsidR="00961C90" w:rsidRPr="00144F64">
                <w:rPr>
                  <w:rStyle w:val="Hyperlink"/>
                  <w:sz w:val="18"/>
                  <w:szCs w:val="18"/>
                  <w:lang w:val="en-GB"/>
                </w:rPr>
                <w:t>http://unitsofmeasure.org/ucum.html</w:t>
              </w:r>
            </w:hyperlink>
          </w:p>
        </w:tc>
      </w:tr>
      <w:tr w:rsidR="009A4467" w:rsidTr="00563782">
        <w:tc>
          <w:tcPr>
            <w:tcW w:w="2718" w:type="dxa"/>
          </w:tcPr>
          <w:p w:rsidR="00411032" w:rsidRPr="003A001A" w:rsidRDefault="00D64049" w:rsidP="00563782">
            <w:pPr>
              <w:pStyle w:val="Default"/>
              <w:spacing w:after="80" w:line="240" w:lineRule="exact"/>
              <w:rPr>
                <w:bCs/>
                <w:sz w:val="18"/>
                <w:szCs w:val="18"/>
                <w:lang w:val="en-GB"/>
              </w:rPr>
            </w:pPr>
            <w:r w:rsidRPr="003A001A">
              <w:rPr>
                <w:sz w:val="18"/>
                <w:szCs w:val="18"/>
                <w:lang w:val="en-GB"/>
              </w:rPr>
              <w:t>Tests</w:t>
            </w:r>
          </w:p>
        </w:tc>
        <w:tc>
          <w:tcPr>
            <w:tcW w:w="2560" w:type="dxa"/>
          </w:tcPr>
          <w:p w:rsidR="00411032" w:rsidRPr="003A001A" w:rsidRDefault="00D64049" w:rsidP="005E43C4">
            <w:pPr>
              <w:pStyle w:val="Default"/>
              <w:spacing w:after="80" w:line="240" w:lineRule="exact"/>
              <w:rPr>
                <w:rStyle w:val="Fett"/>
                <w:b w:val="0"/>
                <w:sz w:val="18"/>
                <w:szCs w:val="18"/>
                <w:lang w:val="en-GB"/>
              </w:rPr>
            </w:pPr>
            <w:r w:rsidRPr="003A001A">
              <w:rPr>
                <w:rStyle w:val="Fett"/>
                <w:b w:val="0"/>
                <w:sz w:val="18"/>
                <w:szCs w:val="18"/>
                <w:lang w:val="en-GB"/>
              </w:rPr>
              <w:t xml:space="preserve">MedDRA, </w:t>
            </w:r>
            <w:r w:rsidR="007508EA" w:rsidRPr="003A001A">
              <w:rPr>
                <w:rStyle w:val="Fett"/>
                <w:b w:val="0"/>
                <w:sz w:val="18"/>
                <w:szCs w:val="18"/>
                <w:lang w:val="en-GB"/>
              </w:rPr>
              <w:t xml:space="preserve">ICD-10, ICD-11, </w:t>
            </w:r>
          </w:p>
        </w:tc>
        <w:tc>
          <w:tcPr>
            <w:tcW w:w="4867" w:type="dxa"/>
          </w:tcPr>
          <w:p w:rsidR="00411032" w:rsidRPr="003A001A" w:rsidRDefault="00715D5C" w:rsidP="005E43C4">
            <w:pPr>
              <w:pStyle w:val="Default"/>
              <w:spacing w:after="80" w:line="240" w:lineRule="exact"/>
              <w:rPr>
                <w:rStyle w:val="Fett"/>
                <w:b w:val="0"/>
                <w:sz w:val="18"/>
                <w:szCs w:val="18"/>
                <w:lang w:val="en-GB"/>
              </w:rPr>
            </w:pPr>
            <w:hyperlink r:id="rId17" w:history="1">
              <w:r w:rsidR="00950368" w:rsidRPr="003A001A">
                <w:rPr>
                  <w:rStyle w:val="Hyperlink"/>
                  <w:sz w:val="18"/>
                  <w:szCs w:val="18"/>
                  <w:lang w:val="en-GB"/>
                </w:rPr>
                <w:t>https://www.meddra.org/</w:t>
              </w:r>
            </w:hyperlink>
          </w:p>
        </w:tc>
      </w:tr>
      <w:tr w:rsidR="009A4467" w:rsidTr="00A35F68">
        <w:tc>
          <w:tcPr>
            <w:tcW w:w="2718" w:type="dxa"/>
          </w:tcPr>
          <w:p w:rsidR="00411032" w:rsidRPr="003A001A" w:rsidRDefault="00D64049" w:rsidP="00A35F68">
            <w:pPr>
              <w:spacing w:after="80" w:line="240" w:lineRule="exact"/>
            </w:pPr>
            <w:r w:rsidRPr="003A001A">
              <w:t>Genetic diagnosis</w:t>
            </w:r>
          </w:p>
        </w:tc>
        <w:tc>
          <w:tcPr>
            <w:tcW w:w="2560" w:type="dxa"/>
          </w:tcPr>
          <w:p w:rsidR="00411032" w:rsidRPr="003A001A" w:rsidRDefault="00D64049" w:rsidP="00A35F68">
            <w:pPr>
              <w:spacing w:after="80" w:line="240" w:lineRule="exact"/>
            </w:pPr>
            <w:r w:rsidRPr="003A001A">
              <w:t>International classification of mutations (HGVS)</w:t>
            </w:r>
          </w:p>
        </w:tc>
        <w:tc>
          <w:tcPr>
            <w:tcW w:w="4867" w:type="dxa"/>
          </w:tcPr>
          <w:p w:rsidR="000A4E9B" w:rsidRDefault="00715D5C" w:rsidP="00A35F68">
            <w:pPr>
              <w:spacing w:after="80" w:line="240" w:lineRule="exact"/>
            </w:pPr>
            <w:hyperlink r:id="rId18" w:history="1">
              <w:r w:rsidR="00961C90" w:rsidRPr="00144F64">
                <w:rPr>
                  <w:rStyle w:val="Hyperlink"/>
                </w:rPr>
                <w:t>http://www.hgvs.org/</w:t>
              </w:r>
            </w:hyperlink>
          </w:p>
          <w:p w:rsidR="000A4E9B" w:rsidRPr="003A001A" w:rsidRDefault="00715D5C" w:rsidP="000A4E9B">
            <w:pPr>
              <w:spacing w:after="80" w:line="240" w:lineRule="exact"/>
            </w:pPr>
            <w:hyperlink r:id="rId19" w:history="1">
              <w:r w:rsidR="00961C90" w:rsidRPr="00144F64">
                <w:rPr>
                  <w:rStyle w:val="Hyperlink"/>
                </w:rPr>
                <w:t>https://www.genenames.org/</w:t>
              </w:r>
            </w:hyperlink>
          </w:p>
        </w:tc>
      </w:tr>
      <w:tr w:rsidR="009A4467" w:rsidTr="00A35F68">
        <w:tc>
          <w:tcPr>
            <w:tcW w:w="2718" w:type="dxa"/>
          </w:tcPr>
          <w:p w:rsidR="00411032" w:rsidRPr="003A001A" w:rsidRDefault="00D64049" w:rsidP="00A35F68">
            <w:pPr>
              <w:spacing w:after="80" w:line="240" w:lineRule="exact"/>
            </w:pPr>
            <w:r w:rsidRPr="003A001A">
              <w:t>Classification of functioning/disability</w:t>
            </w:r>
          </w:p>
        </w:tc>
        <w:tc>
          <w:tcPr>
            <w:tcW w:w="2560" w:type="dxa"/>
          </w:tcPr>
          <w:p w:rsidR="00411032" w:rsidRPr="003A001A" w:rsidRDefault="00D64049" w:rsidP="00A35F68">
            <w:pPr>
              <w:spacing w:after="80" w:line="240" w:lineRule="exact"/>
            </w:pPr>
            <w:r w:rsidRPr="003A001A">
              <w:t>International Classification of Functioning and Disability (ICF)</w:t>
            </w:r>
          </w:p>
        </w:tc>
        <w:tc>
          <w:tcPr>
            <w:tcW w:w="4867" w:type="dxa"/>
          </w:tcPr>
          <w:p w:rsidR="00411032" w:rsidRPr="003A001A" w:rsidRDefault="00715D5C" w:rsidP="00A35F68">
            <w:pPr>
              <w:spacing w:after="80" w:line="240" w:lineRule="exact"/>
            </w:pPr>
            <w:hyperlink r:id="rId20" w:history="1">
              <w:r w:rsidR="003818A8" w:rsidRPr="003A001A">
                <w:rPr>
                  <w:rStyle w:val="Hyperlink"/>
                </w:rPr>
                <w:t>http://www.who.int/classifications/icf/whodasii/en/</w:t>
              </w:r>
            </w:hyperlink>
          </w:p>
        </w:tc>
      </w:tr>
      <w:tr w:rsidR="009A4467" w:rsidTr="00A35F68">
        <w:tc>
          <w:tcPr>
            <w:tcW w:w="2718" w:type="dxa"/>
          </w:tcPr>
          <w:p w:rsidR="005E7AB6" w:rsidRPr="003A001A" w:rsidRDefault="00D64049" w:rsidP="00A35F68">
            <w:pPr>
              <w:spacing w:after="80" w:line="240" w:lineRule="exact"/>
            </w:pPr>
            <w:r w:rsidRPr="003A001A">
              <w:t>Terminologies and formats for individual case safety reports (ICSR) specification</w:t>
            </w:r>
          </w:p>
        </w:tc>
        <w:tc>
          <w:tcPr>
            <w:tcW w:w="2560" w:type="dxa"/>
          </w:tcPr>
          <w:p w:rsidR="005E7AB6" w:rsidRPr="003A001A" w:rsidRDefault="00D64049" w:rsidP="00A35F68">
            <w:pPr>
              <w:spacing w:after="80" w:line="240" w:lineRule="exact"/>
            </w:pPr>
            <w:r w:rsidRPr="003A001A">
              <w:t>Code Sets and Object Identifiers based on the ICH E2BR(3) ICSR Implementation Guide</w:t>
            </w:r>
          </w:p>
        </w:tc>
        <w:tc>
          <w:tcPr>
            <w:tcW w:w="4867" w:type="dxa"/>
          </w:tcPr>
          <w:p w:rsidR="005E7AB6" w:rsidRDefault="00715D5C" w:rsidP="005E7AB6">
            <w:pPr>
              <w:spacing w:after="80" w:line="240" w:lineRule="exact"/>
            </w:pPr>
            <w:hyperlink r:id="rId21" w:history="1">
              <w:r w:rsidR="00961C90" w:rsidRPr="00144F64">
                <w:rPr>
                  <w:rStyle w:val="Hyperlink"/>
                </w:rPr>
                <w:t>http://estri.ich.org/e2br3/index.htm</w:t>
              </w:r>
            </w:hyperlink>
          </w:p>
          <w:p w:rsidR="005E7AB6" w:rsidRPr="003A001A" w:rsidRDefault="005E7AB6" w:rsidP="00A35F68">
            <w:pPr>
              <w:spacing w:after="80" w:line="240" w:lineRule="exact"/>
            </w:pPr>
          </w:p>
        </w:tc>
      </w:tr>
    </w:tbl>
    <w:p w:rsidR="006B3518" w:rsidRPr="008474D9" w:rsidRDefault="00D64049" w:rsidP="006B3518">
      <w:pPr>
        <w:pStyle w:val="Funotentext"/>
        <w:rPr>
          <w:sz w:val="14"/>
          <w:szCs w:val="14"/>
          <w:lang w:val="en"/>
        </w:rPr>
      </w:pPr>
      <w:r w:rsidRPr="008474D9">
        <w:rPr>
          <w:sz w:val="14"/>
          <w:szCs w:val="14"/>
          <w:vertAlign w:val="superscript"/>
          <w:lang w:val="en"/>
        </w:rPr>
        <w:t>1</w:t>
      </w:r>
      <w:r w:rsidRPr="008474D9">
        <w:rPr>
          <w:sz w:val="14"/>
          <w:szCs w:val="14"/>
          <w:lang w:val="en"/>
        </w:rPr>
        <w:t xml:space="preserve"> In accordance with the Commission Implementing Regulation (EC) No 520/2012, Member States, marketing authorisation holders and the Agency shall apply MedDRA as the internationally agreed standard terminology for the classification, retrieval, presentation, risk-benefit evaluation and assessment, electronic exchange and communication of pharmacovigilance and medicinal product information.</w:t>
      </w:r>
    </w:p>
    <w:p w:rsidR="008D3F73" w:rsidRPr="008474D9" w:rsidRDefault="00D64049" w:rsidP="008D3F73">
      <w:pPr>
        <w:pStyle w:val="Funotentext"/>
        <w:rPr>
          <w:b/>
          <w:bCs/>
          <w:sz w:val="14"/>
          <w:szCs w:val="14"/>
          <w:lang w:val="en"/>
        </w:rPr>
      </w:pPr>
      <w:r w:rsidRPr="008474D9">
        <w:rPr>
          <w:sz w:val="14"/>
          <w:szCs w:val="14"/>
          <w:vertAlign w:val="superscript"/>
          <w:lang w:val="en"/>
        </w:rPr>
        <w:t>2</w:t>
      </w:r>
      <w:r w:rsidRPr="008474D9">
        <w:rPr>
          <w:sz w:val="14"/>
          <w:szCs w:val="14"/>
          <w:lang w:val="en"/>
        </w:rPr>
        <w:t xml:space="preserve"> </w:t>
      </w:r>
      <w:r w:rsidR="00C27C6F">
        <w:rPr>
          <w:sz w:val="14"/>
          <w:szCs w:val="14"/>
          <w:lang w:val="en"/>
        </w:rPr>
        <w:t>h</w:t>
      </w:r>
      <w:r w:rsidRPr="00C27C6F">
        <w:rPr>
          <w:bCs/>
          <w:sz w:val="14"/>
          <w:szCs w:val="14"/>
          <w:lang w:val="en"/>
        </w:rPr>
        <w:t>ttp://www.ema.europa.eu/ema/index.jsp?curl=pages/regulation/general/general_content_001940.jsp&amp;mid=WC0b01ac0580dd91db</w:t>
      </w:r>
    </w:p>
    <w:p w:rsidR="00557CC9" w:rsidRDefault="00D64049" w:rsidP="008474D9">
      <w:pPr>
        <w:pStyle w:val="Funotentext"/>
        <w:rPr>
          <w:bCs/>
          <w:sz w:val="14"/>
          <w:szCs w:val="14"/>
        </w:rPr>
      </w:pPr>
      <w:r w:rsidRPr="008474D9">
        <w:rPr>
          <w:sz w:val="14"/>
          <w:szCs w:val="14"/>
          <w:vertAlign w:val="superscript"/>
          <w:lang w:val="en"/>
        </w:rPr>
        <w:t>3</w:t>
      </w:r>
      <w:r w:rsidRPr="008474D9">
        <w:rPr>
          <w:sz w:val="14"/>
          <w:szCs w:val="14"/>
          <w:lang w:val="en"/>
        </w:rPr>
        <w:t xml:space="preserve"> </w:t>
      </w:r>
      <w:r w:rsidRPr="00C27C6F">
        <w:rPr>
          <w:sz w:val="14"/>
          <w:szCs w:val="14"/>
          <w:lang w:val="en"/>
        </w:rPr>
        <w:t>h</w:t>
      </w:r>
      <w:r w:rsidRPr="00C27C6F">
        <w:rPr>
          <w:bCs/>
          <w:sz w:val="14"/>
          <w:szCs w:val="14"/>
        </w:rPr>
        <w:t>ttp://www.ema.europa.eu/ema/index.jsp?curl=pages/regulation/general/general_content_001849.jsp&amp;mid=WC0b01ac0580bf85bb</w:t>
      </w:r>
    </w:p>
    <w:p w:rsidR="00557CC9" w:rsidRDefault="00557CC9" w:rsidP="008474D9">
      <w:pPr>
        <w:pStyle w:val="Funotentext"/>
        <w:rPr>
          <w:bCs/>
          <w:sz w:val="14"/>
          <w:szCs w:val="14"/>
        </w:rPr>
      </w:pPr>
    </w:p>
    <w:p w:rsidR="00557CC9" w:rsidRPr="00557CC9" w:rsidRDefault="00557CC9" w:rsidP="008474D9">
      <w:pPr>
        <w:pStyle w:val="Funotentext"/>
        <w:rPr>
          <w:bCs/>
          <w:sz w:val="14"/>
          <w:szCs w:val="14"/>
        </w:rPr>
      </w:pPr>
    </w:p>
    <w:p w:rsidR="005D0067" w:rsidRPr="0029175B" w:rsidRDefault="00D64049" w:rsidP="00AD4CBC">
      <w:pPr>
        <w:pStyle w:val="Default"/>
        <w:spacing w:after="140" w:line="280" w:lineRule="exact"/>
        <w:rPr>
          <w:rStyle w:val="Fett"/>
          <w:b w:val="0"/>
          <w:sz w:val="18"/>
          <w:szCs w:val="18"/>
          <w:lang w:val="en-GB"/>
        </w:rPr>
      </w:pPr>
      <w:r w:rsidRPr="0029175B">
        <w:rPr>
          <w:rStyle w:val="Fett"/>
          <w:b w:val="0"/>
          <w:sz w:val="18"/>
          <w:szCs w:val="18"/>
          <w:lang w:val="en-GB"/>
        </w:rPr>
        <w:t xml:space="preserve">Medical terminologies most frequently used in clinical practice are ICD-9 and ICD-10. The ICD-11 version has been published in June 2018. </w:t>
      </w:r>
      <w:r w:rsidR="005322D3" w:rsidRPr="0029175B">
        <w:rPr>
          <w:rStyle w:val="Fett"/>
          <w:b w:val="0"/>
          <w:sz w:val="18"/>
          <w:szCs w:val="18"/>
          <w:lang w:val="en-GB"/>
        </w:rPr>
        <w:t xml:space="preserve">The Medical Dictionary for Regulatory Activities (MedDRA) is </w:t>
      </w:r>
      <w:r w:rsidR="005322D3" w:rsidRPr="0029175B">
        <w:rPr>
          <w:rStyle w:val="Fett"/>
          <w:b w:val="0"/>
          <w:sz w:val="18"/>
          <w:szCs w:val="18"/>
          <w:lang w:val="en-GB"/>
        </w:rPr>
        <w:lastRenderedPageBreak/>
        <w:t xml:space="preserve">a clinically validated and regularly updated international medical terminology dictionary used by regulatory authorities to facilitate data entry, retrieval, evaluation, presentation and sharing of regulatory information internationally for medical products used by humans. It is also the adverse event classification dictionary used internationally for regulatory purposes. </w:t>
      </w:r>
    </w:p>
    <w:p w:rsidR="00AD4CBC" w:rsidRPr="00391DE9" w:rsidRDefault="00D64049" w:rsidP="00AD4CBC">
      <w:pPr>
        <w:pStyle w:val="Default"/>
        <w:spacing w:after="140" w:line="280" w:lineRule="exact"/>
        <w:rPr>
          <w:rFonts w:cs="Arial"/>
          <w:color w:val="auto"/>
          <w:sz w:val="18"/>
          <w:szCs w:val="18"/>
          <w:shd w:val="clear" w:color="auto" w:fill="FFFFFF"/>
          <w:lang w:val="en-GB"/>
        </w:rPr>
      </w:pPr>
      <w:r w:rsidRPr="006E7959">
        <w:rPr>
          <w:rStyle w:val="Fett"/>
          <w:b w:val="0"/>
          <w:color w:val="auto"/>
          <w:sz w:val="18"/>
          <w:szCs w:val="18"/>
          <w:lang w:val="en-GB"/>
        </w:rPr>
        <w:t>Another clinical terminology is t</w:t>
      </w:r>
      <w:r w:rsidR="005469A2" w:rsidRPr="006E7959">
        <w:rPr>
          <w:rStyle w:val="Fett"/>
          <w:b w:val="0"/>
          <w:color w:val="auto"/>
          <w:sz w:val="18"/>
          <w:szCs w:val="18"/>
          <w:lang w:val="en-GB"/>
        </w:rPr>
        <w:t>he SNOMED Clinical Terms (CT) terminology</w:t>
      </w:r>
      <w:r w:rsidRPr="006E7959">
        <w:rPr>
          <w:rStyle w:val="Fett"/>
          <w:b w:val="0"/>
          <w:color w:val="auto"/>
          <w:sz w:val="18"/>
          <w:szCs w:val="18"/>
          <w:lang w:val="en-GB"/>
        </w:rPr>
        <w:t>. It</w:t>
      </w:r>
      <w:r w:rsidR="005469A2" w:rsidRPr="006E7959">
        <w:rPr>
          <w:rStyle w:val="Fett"/>
          <w:b w:val="0"/>
          <w:color w:val="auto"/>
          <w:sz w:val="18"/>
          <w:szCs w:val="18"/>
          <w:lang w:val="en-GB"/>
        </w:rPr>
        <w:t xml:space="preserve"> </w:t>
      </w:r>
      <w:r w:rsidR="005469A2" w:rsidRPr="006E7959">
        <w:rPr>
          <w:rFonts w:cs="Arial"/>
          <w:color w:val="auto"/>
          <w:sz w:val="18"/>
          <w:szCs w:val="18"/>
          <w:shd w:val="clear" w:color="auto" w:fill="FFFFFF"/>
          <w:lang w:val="en-GB"/>
        </w:rPr>
        <w:t>provides codes, terms, synonyms and definitions used in clinical documentation and reporting and is frequently used in electronic health records</w:t>
      </w:r>
      <w:r w:rsidR="00F41E67" w:rsidRPr="00CE3951">
        <w:rPr>
          <w:rFonts w:cs="Arial"/>
          <w:color w:val="auto"/>
          <w:sz w:val="18"/>
          <w:szCs w:val="18"/>
          <w:shd w:val="clear" w:color="auto" w:fill="FFFFFF"/>
          <w:lang w:val="en-GB"/>
        </w:rPr>
        <w:t xml:space="preserve"> </w:t>
      </w:r>
      <w:r w:rsidR="00F41E67" w:rsidRPr="00C12847">
        <w:rPr>
          <w:rFonts w:cs="Arial"/>
          <w:color w:val="auto"/>
          <w:sz w:val="18"/>
          <w:szCs w:val="18"/>
          <w:shd w:val="clear" w:color="auto" w:fill="FFFFFF"/>
          <w:lang w:val="en-GB"/>
        </w:rPr>
        <w:fldChar w:fldCharType="begin"/>
      </w:r>
      <w:r w:rsidR="005E2E45">
        <w:rPr>
          <w:rFonts w:cs="Arial"/>
          <w:color w:val="auto"/>
          <w:sz w:val="18"/>
          <w:szCs w:val="18"/>
          <w:shd w:val="clear" w:color="auto" w:fill="FFFFFF"/>
          <w:lang w:val="en-GB"/>
        </w:rPr>
        <w:instrText xml:space="preserve"> ADDIN ZOTERO_ITEM CSL_CITATION {"citationID":"aosbask439","properties":{"formattedCitation":"(25)","plainCitation":"(25)"},"citationItems":[{"id":2288,"uris":["http://zotero.org/users/local/tAKp4fcl/items/FDHC372F"],"uri":["http://zotero.org/users/local/tAKp4fcl/items/FDHC372F"],"itemData":{"id":2288,"type":"webpage","title":"SNOMED CT. The Global Language of Healthcare.","URL":"https://www.snomed.org/snomed-ct","author":[{"literal":"SNOMED International"}]}}],"schema":"https://github.com/citation-style-language/schema/raw/master/csl-citation.json"} </w:instrText>
      </w:r>
      <w:r w:rsidR="00F41E67" w:rsidRPr="00C12847">
        <w:rPr>
          <w:rFonts w:cs="Arial"/>
          <w:color w:val="auto"/>
          <w:sz w:val="18"/>
          <w:szCs w:val="18"/>
          <w:shd w:val="clear" w:color="auto" w:fill="FFFFFF"/>
          <w:lang w:val="en-GB"/>
        </w:rPr>
        <w:fldChar w:fldCharType="separate"/>
      </w:r>
      <w:r w:rsidR="005E2E45" w:rsidRPr="005E2E45">
        <w:rPr>
          <w:sz w:val="18"/>
        </w:rPr>
        <w:t>(25)</w:t>
      </w:r>
      <w:r w:rsidR="00F41E67" w:rsidRPr="00C12847">
        <w:rPr>
          <w:rFonts w:cs="Arial"/>
          <w:color w:val="auto"/>
          <w:sz w:val="18"/>
          <w:szCs w:val="18"/>
          <w:shd w:val="clear" w:color="auto" w:fill="FFFFFF"/>
          <w:lang w:val="en-GB"/>
        </w:rPr>
        <w:fldChar w:fldCharType="end"/>
      </w:r>
      <w:r w:rsidR="005469A2" w:rsidRPr="00391DE9">
        <w:rPr>
          <w:rFonts w:cs="Arial"/>
          <w:color w:val="auto"/>
          <w:sz w:val="18"/>
          <w:szCs w:val="18"/>
          <w:shd w:val="clear" w:color="auto" w:fill="FFFFFF"/>
          <w:lang w:val="en-GB"/>
        </w:rPr>
        <w:t>. It has been mapped to ICD-9 and ICD-10</w:t>
      </w:r>
      <w:r w:rsidR="00F41E67" w:rsidRPr="00CE3951">
        <w:rPr>
          <w:rFonts w:cs="Arial"/>
          <w:color w:val="auto"/>
          <w:sz w:val="18"/>
          <w:szCs w:val="18"/>
          <w:shd w:val="clear" w:color="auto" w:fill="FFFFFF"/>
          <w:lang w:val="en-GB"/>
        </w:rPr>
        <w:t xml:space="preserve"> </w:t>
      </w:r>
      <w:r w:rsidR="00F41E67" w:rsidRPr="00C12847">
        <w:rPr>
          <w:rFonts w:cs="Arial"/>
          <w:color w:val="auto"/>
          <w:sz w:val="18"/>
          <w:szCs w:val="18"/>
          <w:shd w:val="clear" w:color="auto" w:fill="FFFFFF"/>
          <w:lang w:val="en-GB"/>
        </w:rPr>
        <w:fldChar w:fldCharType="begin"/>
      </w:r>
      <w:r w:rsidR="005E2E45">
        <w:rPr>
          <w:rFonts w:cs="Arial"/>
          <w:color w:val="auto"/>
          <w:sz w:val="18"/>
          <w:szCs w:val="18"/>
          <w:shd w:val="clear" w:color="auto" w:fill="FFFFFF"/>
          <w:lang w:val="en-GB"/>
        </w:rPr>
        <w:instrText xml:space="preserve"> ADDIN ZOTERO_ITEM CSL_CITATION {"citationID":"a2f0pjtkt1","properties":{"formattedCitation":"(26)","plainCitation":"(26)"},"citationItems":[{"id":2255,"uris":["http://zotero.org/users/local/tAKp4fcl/items/MHSID9GF"],"uri":["http://zotero.org/users/local/tAKp4fcl/items/MHSID9GF"],"itemData":{"id":2255,"type":"webpage","title":"NIH. U.S. National Library of Medicine. SNOMED CT to ICD-10-CM Map","URL":"https://www.nlm.nih.gov/research/umls/mapping_projects/snomedct_to_icd10cm.html"}}],"schema":"https://github.com/citation-style-language/schema/raw/master/csl-citation.json"} </w:instrText>
      </w:r>
      <w:r w:rsidR="00F41E67" w:rsidRPr="00C12847">
        <w:rPr>
          <w:rFonts w:cs="Arial"/>
          <w:color w:val="auto"/>
          <w:sz w:val="18"/>
          <w:szCs w:val="18"/>
          <w:shd w:val="clear" w:color="auto" w:fill="FFFFFF"/>
          <w:lang w:val="en-GB"/>
        </w:rPr>
        <w:fldChar w:fldCharType="separate"/>
      </w:r>
      <w:r w:rsidR="005E2E45" w:rsidRPr="005E2E45">
        <w:rPr>
          <w:sz w:val="18"/>
        </w:rPr>
        <w:t>(26)</w:t>
      </w:r>
      <w:r w:rsidR="00F41E67" w:rsidRPr="00C12847">
        <w:rPr>
          <w:rFonts w:cs="Arial"/>
          <w:color w:val="auto"/>
          <w:sz w:val="18"/>
          <w:szCs w:val="18"/>
          <w:shd w:val="clear" w:color="auto" w:fill="FFFFFF"/>
          <w:lang w:val="en-GB"/>
        </w:rPr>
        <w:fldChar w:fldCharType="end"/>
      </w:r>
      <w:r w:rsidR="005469A2" w:rsidRPr="00391DE9">
        <w:rPr>
          <w:rFonts w:cs="Arial"/>
          <w:color w:val="auto"/>
          <w:sz w:val="18"/>
          <w:szCs w:val="18"/>
          <w:shd w:val="clear" w:color="auto" w:fill="FFFFFF"/>
          <w:lang w:val="en-GB"/>
        </w:rPr>
        <w:t xml:space="preserve">. </w:t>
      </w:r>
    </w:p>
    <w:p w:rsidR="00AD4CBC" w:rsidRPr="0029175B" w:rsidRDefault="00D64049" w:rsidP="00AD4CBC">
      <w:pPr>
        <w:pStyle w:val="StandardWeb"/>
        <w:spacing w:after="140" w:line="280" w:lineRule="exact"/>
        <w:rPr>
          <w:rFonts w:ascii="Verdana" w:hAnsi="Verdana"/>
          <w:sz w:val="18"/>
          <w:szCs w:val="18"/>
        </w:rPr>
      </w:pPr>
      <w:r w:rsidRPr="0029175B">
        <w:rPr>
          <w:rStyle w:val="Fett"/>
          <w:rFonts w:ascii="Verdana" w:hAnsi="Verdana"/>
          <w:b w:val="0"/>
          <w:sz w:val="18"/>
          <w:szCs w:val="18"/>
        </w:rPr>
        <w:t xml:space="preserve">The EMA publishes data from the Article 57 database on all medicines authorised in the European Economic Area (EEA). </w:t>
      </w:r>
      <w:r w:rsidRPr="0029175B">
        <w:rPr>
          <w:rStyle w:val="glossary-term"/>
          <w:rFonts w:ascii="Verdana" w:hAnsi="Verdana"/>
          <w:bCs/>
          <w:sz w:val="18"/>
          <w:szCs w:val="18"/>
        </w:rPr>
        <w:t>An</w:t>
      </w:r>
      <w:r w:rsidRPr="0029175B">
        <w:rPr>
          <w:rFonts w:ascii="Verdana" w:hAnsi="Verdana"/>
          <w:sz w:val="18"/>
          <w:szCs w:val="18"/>
        </w:rPr>
        <w:t xml:space="preserve"> Excel table contains the following data fields: product name (product short name: brand name or the concatenation of the generic name and the company name); </w:t>
      </w:r>
      <w:r w:rsidRPr="0029175B">
        <w:rPr>
          <w:rStyle w:val="glossary-term"/>
          <w:rFonts w:ascii="Verdana" w:hAnsi="Verdana"/>
          <w:sz w:val="18"/>
          <w:szCs w:val="18"/>
        </w:rPr>
        <w:t>active substance</w:t>
      </w:r>
      <w:r w:rsidRPr="0029175B">
        <w:rPr>
          <w:rFonts w:ascii="Verdana" w:hAnsi="Verdana"/>
          <w:sz w:val="18"/>
          <w:szCs w:val="18"/>
        </w:rPr>
        <w:t xml:space="preserve">; </w:t>
      </w:r>
      <w:r w:rsidRPr="0029175B">
        <w:rPr>
          <w:rStyle w:val="glossary-term"/>
          <w:rFonts w:ascii="Verdana" w:hAnsi="Verdana"/>
          <w:sz w:val="18"/>
          <w:szCs w:val="18"/>
        </w:rPr>
        <w:t>route of administration</w:t>
      </w:r>
      <w:r w:rsidRPr="0029175B">
        <w:rPr>
          <w:rFonts w:ascii="Verdana" w:hAnsi="Verdana"/>
          <w:sz w:val="18"/>
          <w:szCs w:val="18"/>
        </w:rPr>
        <w:t xml:space="preserve">; country of authorisation; name of the </w:t>
      </w:r>
      <w:r w:rsidRPr="0029175B">
        <w:rPr>
          <w:rStyle w:val="glossary-term"/>
          <w:rFonts w:ascii="Verdana" w:hAnsi="Verdana"/>
          <w:sz w:val="18"/>
          <w:szCs w:val="18"/>
        </w:rPr>
        <w:t>marketing authorisation holder</w:t>
      </w:r>
      <w:r w:rsidRPr="0029175B">
        <w:rPr>
          <w:rFonts w:ascii="Verdana" w:hAnsi="Verdana"/>
          <w:sz w:val="18"/>
          <w:szCs w:val="18"/>
        </w:rPr>
        <w:t xml:space="preserve">; country of location of the pharmacovigilance system master file; </w:t>
      </w:r>
      <w:r w:rsidRPr="0029175B">
        <w:rPr>
          <w:rStyle w:val="glossary-term"/>
          <w:rFonts w:ascii="Verdana" w:hAnsi="Verdana"/>
          <w:sz w:val="18"/>
          <w:szCs w:val="18"/>
        </w:rPr>
        <w:t>marketing authorisation holder</w:t>
      </w:r>
      <w:r w:rsidRPr="0029175B">
        <w:rPr>
          <w:rFonts w:ascii="Verdana" w:hAnsi="Verdana"/>
          <w:sz w:val="18"/>
          <w:szCs w:val="18"/>
        </w:rPr>
        <w:t xml:space="preserve">'s contact details for </w:t>
      </w:r>
      <w:r w:rsidRPr="0029175B">
        <w:rPr>
          <w:rStyle w:val="glossary-term"/>
          <w:rFonts w:ascii="Verdana" w:hAnsi="Verdana"/>
          <w:sz w:val="18"/>
          <w:szCs w:val="18"/>
        </w:rPr>
        <w:t>pharmacovigilance</w:t>
      </w:r>
      <w:r w:rsidRPr="0029175B">
        <w:rPr>
          <w:rFonts w:ascii="Verdana" w:hAnsi="Verdana"/>
          <w:sz w:val="18"/>
          <w:szCs w:val="18"/>
        </w:rPr>
        <w:t xml:space="preserve"> enquiries.</w:t>
      </w:r>
      <w:r w:rsidR="00EF73FB" w:rsidRPr="0029175B">
        <w:rPr>
          <w:rFonts w:ascii="Verdana" w:hAnsi="Verdana"/>
          <w:sz w:val="18"/>
          <w:szCs w:val="18"/>
        </w:rPr>
        <w:t xml:space="preserve"> The Art</w:t>
      </w:r>
      <w:r w:rsidR="00E813C5">
        <w:rPr>
          <w:rFonts w:ascii="Verdana" w:hAnsi="Verdana"/>
          <w:sz w:val="18"/>
          <w:szCs w:val="18"/>
        </w:rPr>
        <w:t>icle</w:t>
      </w:r>
      <w:r w:rsidR="00EF73FB" w:rsidRPr="0029175B">
        <w:rPr>
          <w:rFonts w:ascii="Verdana" w:hAnsi="Verdana"/>
          <w:sz w:val="18"/>
          <w:szCs w:val="18"/>
        </w:rPr>
        <w:t xml:space="preserve"> 57</w:t>
      </w:r>
      <w:r w:rsidR="000B21C8" w:rsidRPr="0029175B">
        <w:rPr>
          <w:rFonts w:ascii="Verdana" w:hAnsi="Verdana"/>
          <w:sz w:val="18"/>
          <w:szCs w:val="18"/>
        </w:rPr>
        <w:t xml:space="preserve"> </w:t>
      </w:r>
      <w:r w:rsidR="00EF73FB" w:rsidRPr="0029175B">
        <w:rPr>
          <w:rFonts w:ascii="Verdana" w:hAnsi="Verdana"/>
          <w:sz w:val="18"/>
          <w:szCs w:val="18"/>
        </w:rPr>
        <w:t>data will be</w:t>
      </w:r>
      <w:r w:rsidR="000B21C8" w:rsidRPr="0029175B">
        <w:rPr>
          <w:rFonts w:ascii="Verdana" w:hAnsi="Verdana"/>
          <w:sz w:val="18"/>
          <w:szCs w:val="18"/>
        </w:rPr>
        <w:t xml:space="preserve"> integrated as </w:t>
      </w:r>
      <w:r w:rsidR="00EF73FB" w:rsidRPr="0029175B">
        <w:rPr>
          <w:rFonts w:ascii="Verdana" w:hAnsi="Verdana"/>
          <w:sz w:val="18"/>
          <w:szCs w:val="18"/>
        </w:rPr>
        <w:t xml:space="preserve">part of the ISO IDMP </w:t>
      </w:r>
      <w:r w:rsidR="000B21C8" w:rsidRPr="0029175B">
        <w:rPr>
          <w:rFonts w:ascii="Verdana" w:hAnsi="Verdana"/>
          <w:sz w:val="18"/>
          <w:szCs w:val="18"/>
        </w:rPr>
        <w:t xml:space="preserve">standards implementation </w:t>
      </w:r>
      <w:r w:rsidR="00EF73FB" w:rsidRPr="0029175B">
        <w:rPr>
          <w:rFonts w:ascii="Verdana" w:hAnsi="Verdana"/>
          <w:sz w:val="18"/>
          <w:szCs w:val="18"/>
        </w:rPr>
        <w:t>when it becomes available.</w:t>
      </w:r>
      <w:r w:rsidR="000815A6">
        <w:rPr>
          <w:rFonts w:ascii="Verdana" w:hAnsi="Verdana"/>
          <w:sz w:val="18"/>
          <w:szCs w:val="18"/>
        </w:rPr>
        <w:t xml:space="preserve"> </w:t>
      </w:r>
      <w:r w:rsidR="000C66B1">
        <w:rPr>
          <w:rFonts w:ascii="Verdana" w:hAnsi="Verdana"/>
          <w:sz w:val="18"/>
          <w:szCs w:val="18"/>
        </w:rPr>
        <w:t xml:space="preserve">Where national registries use national drug catalogues, a mapping to the Article 57 database would facilitate multi-national </w:t>
      </w:r>
      <w:r w:rsidR="009A2DC2">
        <w:rPr>
          <w:rFonts w:ascii="Verdana" w:hAnsi="Verdana"/>
          <w:sz w:val="18"/>
          <w:szCs w:val="18"/>
        </w:rPr>
        <w:t>studies.</w:t>
      </w:r>
    </w:p>
    <w:p w:rsidR="00DB0840" w:rsidRPr="00DB0840" w:rsidRDefault="00D64049" w:rsidP="006E7959">
      <w:pPr>
        <w:pStyle w:val="StandardWeb"/>
        <w:shd w:val="clear" w:color="auto" w:fill="FFFFFF"/>
        <w:spacing w:after="140" w:line="280" w:lineRule="exact"/>
        <w:rPr>
          <w:rFonts w:eastAsia="Times New Roman"/>
          <w:color w:val="000000"/>
          <w:lang w:val="en-US" w:eastAsia="en-US"/>
        </w:rPr>
      </w:pPr>
      <w:r w:rsidRPr="000815A6">
        <w:rPr>
          <w:rFonts w:ascii="Verdana" w:hAnsi="Verdana" w:cs="Arial"/>
          <w:sz w:val="18"/>
          <w:szCs w:val="18"/>
        </w:rPr>
        <w:t>Another international classification for drugs is the Anatomical Therapeutic Chemical (ATC) classification and Defined Daily Dose (DDD) system, which has been developed as a tool for exchanging and comparing data on drug use at international, national or local levels (https://www.whocc.no/). This classification does not provide information on brand</w:t>
      </w:r>
      <w:r w:rsidR="006A361A">
        <w:rPr>
          <w:rFonts w:ascii="Verdana" w:hAnsi="Verdana" w:cs="Arial"/>
          <w:sz w:val="18"/>
          <w:szCs w:val="18"/>
        </w:rPr>
        <w:t xml:space="preserve"> </w:t>
      </w:r>
      <w:r w:rsidRPr="000815A6">
        <w:rPr>
          <w:rFonts w:ascii="Verdana" w:hAnsi="Verdana" w:cs="Arial"/>
          <w:sz w:val="18"/>
          <w:szCs w:val="18"/>
        </w:rPr>
        <w:t>names.</w:t>
      </w:r>
      <w:r>
        <w:rPr>
          <w:rFonts w:ascii="Verdana" w:hAnsi="Verdana" w:cs="Arial"/>
          <w:sz w:val="18"/>
          <w:szCs w:val="18"/>
        </w:rPr>
        <w:t xml:space="preserve"> </w:t>
      </w:r>
      <w:r w:rsidR="00B63783" w:rsidRPr="00DB0840">
        <w:rPr>
          <w:rFonts w:ascii="Verdana" w:hAnsi="Verdana" w:cs="Arial"/>
          <w:sz w:val="18"/>
          <w:szCs w:val="18"/>
        </w:rPr>
        <w:t xml:space="preserve">For medicinal products marketed in the US, </w:t>
      </w:r>
      <w:r w:rsidR="00950368" w:rsidRPr="00DB0840">
        <w:rPr>
          <w:rFonts w:ascii="Verdana" w:hAnsi="Verdana" w:cs="Arial"/>
          <w:sz w:val="18"/>
          <w:szCs w:val="18"/>
        </w:rPr>
        <w:t>RxNorm</w:t>
      </w:r>
      <w:r w:rsidR="00B63783" w:rsidRPr="00DB0840">
        <w:rPr>
          <w:rFonts w:ascii="Verdana" w:hAnsi="Verdana" w:cs="Arial"/>
          <w:sz w:val="18"/>
          <w:szCs w:val="18"/>
        </w:rPr>
        <w:t xml:space="preserve"> also</w:t>
      </w:r>
      <w:r w:rsidR="00950368" w:rsidRPr="00DB0840">
        <w:rPr>
          <w:rFonts w:ascii="Verdana" w:hAnsi="Verdana" w:cs="Arial"/>
          <w:sz w:val="18"/>
          <w:szCs w:val="18"/>
        </w:rPr>
        <w:t xml:space="preserve"> provides normalised brand and substance names for clinical drugs available on the US market and links them to many of the other drug vocabularies commonly used</w:t>
      </w:r>
      <w:r w:rsidR="00FA4B8A" w:rsidRPr="005E2E45">
        <w:rPr>
          <w:rFonts w:ascii="Verdana" w:hAnsi="Verdana" w:cs="Arial"/>
          <w:sz w:val="18"/>
          <w:szCs w:val="18"/>
        </w:rPr>
        <w:t xml:space="preserve"> </w:t>
      </w:r>
      <w:r w:rsidR="00FA4B8A" w:rsidRPr="006E7959">
        <w:rPr>
          <w:rFonts w:ascii="Verdana" w:hAnsi="Verdana" w:cs="Arial"/>
          <w:sz w:val="18"/>
          <w:szCs w:val="18"/>
        </w:rPr>
        <w:fldChar w:fldCharType="begin"/>
      </w:r>
      <w:r w:rsidR="005E2E45" w:rsidRPr="005E2E45">
        <w:rPr>
          <w:rFonts w:ascii="Verdana" w:hAnsi="Verdana" w:cs="Arial"/>
          <w:sz w:val="18"/>
          <w:szCs w:val="18"/>
        </w:rPr>
        <w:instrText xml:space="preserve"> ADDIN ZOTERO_ITEM CSL_CITATION {"citationID":"a1h2pfjah87","properties":{"formattedCitation":"(27)","plainCitation":"(27)"},"citationItems":[{"id":2289,"uris":["http://zotero.org/users/local/tAKp4fcl/items/PWDPGLYI"],"uri":["http://zotero.org/users/local/tAKp4fcl/items/PWDPGLYI"],"itemData":{"id":2289,"type":"webpage","title":"NIH. U.S. National Library of Medicine. Unified Medical Language System® (UMLS®)","URL":"https://www.nlm.nih.gov/research/umls/rxnorm/"}}],"schema":"https://github.com/citation-style-language/schema/raw/master/csl-citation.json"} </w:instrText>
      </w:r>
      <w:r w:rsidR="00FA4B8A" w:rsidRPr="006E7959">
        <w:rPr>
          <w:rFonts w:ascii="Verdana" w:hAnsi="Verdana" w:cs="Arial"/>
          <w:sz w:val="18"/>
          <w:szCs w:val="18"/>
        </w:rPr>
        <w:fldChar w:fldCharType="separate"/>
      </w:r>
      <w:r w:rsidR="005E2E45" w:rsidRPr="005E2E45">
        <w:rPr>
          <w:rFonts w:ascii="Verdana" w:hAnsi="Verdana" w:cs="Arial"/>
          <w:sz w:val="18"/>
          <w:szCs w:val="18"/>
        </w:rPr>
        <w:t>(27)</w:t>
      </w:r>
      <w:r w:rsidR="00FA4B8A" w:rsidRPr="006E7959">
        <w:rPr>
          <w:rFonts w:ascii="Verdana" w:hAnsi="Verdana" w:cs="Arial"/>
          <w:sz w:val="18"/>
          <w:szCs w:val="18"/>
        </w:rPr>
        <w:fldChar w:fldCharType="end"/>
      </w:r>
      <w:r w:rsidR="00950368" w:rsidRPr="00DB0840">
        <w:rPr>
          <w:rFonts w:ascii="Verdana" w:hAnsi="Verdana" w:cs="Arial"/>
          <w:sz w:val="18"/>
          <w:szCs w:val="18"/>
        </w:rPr>
        <w:t>.</w:t>
      </w:r>
      <w:r w:rsidR="009A2DC2" w:rsidRPr="00DB0840">
        <w:rPr>
          <w:rFonts w:ascii="Verdana" w:hAnsi="Verdana" w:cs="Arial"/>
          <w:sz w:val="18"/>
          <w:szCs w:val="18"/>
        </w:rPr>
        <w:t xml:space="preserve"> </w:t>
      </w:r>
    </w:p>
    <w:p w:rsidR="00391DE9" w:rsidRDefault="00D64049" w:rsidP="006071F3">
      <w:pPr>
        <w:pStyle w:val="Default"/>
        <w:spacing w:after="140" w:line="280" w:lineRule="exact"/>
        <w:rPr>
          <w:rFonts w:cs="Arial"/>
          <w:sz w:val="18"/>
          <w:szCs w:val="18"/>
          <w:lang w:val="en-GB"/>
        </w:rPr>
      </w:pPr>
      <w:r w:rsidRPr="0029175B">
        <w:rPr>
          <w:rFonts w:cs="Arial"/>
          <w:sz w:val="18"/>
          <w:szCs w:val="18"/>
          <w:lang w:val="en-GB"/>
        </w:rPr>
        <w:t xml:space="preserve">Besides the examples of terminologies given in Table 3, standards defined by the International Council for Harmonisation (ICH) exist in different domains, for instance to record age categories of results of tests without numerical values. </w:t>
      </w:r>
    </w:p>
    <w:p w:rsidR="00AD4CBC" w:rsidRPr="0029175B" w:rsidRDefault="00D64049" w:rsidP="006071F3">
      <w:pPr>
        <w:pStyle w:val="Default"/>
        <w:spacing w:after="140" w:line="280" w:lineRule="exact"/>
        <w:rPr>
          <w:rFonts w:cs="Arial"/>
          <w:sz w:val="18"/>
          <w:szCs w:val="18"/>
          <w:lang w:val="en-GB"/>
        </w:rPr>
      </w:pPr>
      <w:r>
        <w:rPr>
          <w:rFonts w:cs="Arial"/>
          <w:sz w:val="18"/>
          <w:szCs w:val="18"/>
          <w:lang w:val="en-GB"/>
        </w:rPr>
        <w:t>The EMA</w:t>
      </w:r>
      <w:r w:rsidR="000F0352" w:rsidRPr="0029175B">
        <w:rPr>
          <w:rFonts w:cs="Arial"/>
          <w:sz w:val="18"/>
          <w:szCs w:val="18"/>
          <w:lang w:val="en-GB"/>
        </w:rPr>
        <w:t xml:space="preserve"> may provide assistance on identifying relevant</w:t>
      </w:r>
      <w:r>
        <w:rPr>
          <w:rFonts w:cs="Arial"/>
          <w:sz w:val="18"/>
          <w:szCs w:val="18"/>
          <w:lang w:val="en-GB"/>
        </w:rPr>
        <w:t xml:space="preserve"> international</w:t>
      </w:r>
      <w:r w:rsidR="000F0352" w:rsidRPr="0029175B">
        <w:rPr>
          <w:rFonts w:cs="Arial"/>
          <w:sz w:val="18"/>
          <w:szCs w:val="18"/>
          <w:lang w:val="en-GB"/>
        </w:rPr>
        <w:t xml:space="preserve"> terminologies.</w:t>
      </w:r>
    </w:p>
    <w:p w:rsidR="00AD4CBC" w:rsidRPr="008B040E" w:rsidRDefault="00D64049" w:rsidP="008B040E">
      <w:pPr>
        <w:pStyle w:val="Heading2Agency"/>
      </w:pPr>
      <w:bookmarkStart w:id="89" w:name="_Toc528934931"/>
      <w:r w:rsidRPr="008B040E">
        <w:t>Quality management</w:t>
      </w:r>
      <w:bookmarkEnd w:id="89"/>
      <w:r w:rsidRPr="008B040E">
        <w:t xml:space="preserve"> </w:t>
      </w:r>
    </w:p>
    <w:p w:rsidR="00AD4CBC" w:rsidRPr="008B040E" w:rsidRDefault="00D64049" w:rsidP="008B040E">
      <w:pPr>
        <w:pStyle w:val="Heading3Agency"/>
        <w:rPr>
          <w:rStyle w:val="Fett"/>
          <w:b/>
          <w:bCs/>
        </w:rPr>
      </w:pPr>
      <w:bookmarkStart w:id="90" w:name="_Toc528934932"/>
      <w:r w:rsidRPr="008B040E">
        <w:rPr>
          <w:rStyle w:val="Fett"/>
          <w:b/>
          <w:bCs/>
        </w:rPr>
        <w:t xml:space="preserve">Importance of </w:t>
      </w:r>
      <w:r w:rsidR="004468FB" w:rsidRPr="008B040E">
        <w:rPr>
          <w:rStyle w:val="Fett"/>
          <w:b/>
          <w:bCs/>
        </w:rPr>
        <w:t>quality management</w:t>
      </w:r>
      <w:bookmarkEnd w:id="90"/>
    </w:p>
    <w:p w:rsidR="00AD4CBC" w:rsidRPr="0029175B" w:rsidRDefault="00D64049" w:rsidP="00AD4CBC">
      <w:pPr>
        <w:pStyle w:val="Default"/>
        <w:spacing w:after="140" w:line="280" w:lineRule="exact"/>
        <w:rPr>
          <w:rStyle w:val="Fett"/>
          <w:b w:val="0"/>
          <w:color w:val="auto"/>
          <w:sz w:val="18"/>
          <w:szCs w:val="18"/>
          <w:lang w:val="en-GB"/>
        </w:rPr>
      </w:pPr>
      <w:r w:rsidRPr="0029175B">
        <w:rPr>
          <w:rStyle w:val="Fett"/>
          <w:b w:val="0"/>
          <w:color w:val="auto"/>
          <w:sz w:val="18"/>
          <w:szCs w:val="18"/>
          <w:lang w:val="en-GB"/>
        </w:rPr>
        <w:t xml:space="preserve">Uncertainties about the quality of the data collected in registries and the level of quality </w:t>
      </w:r>
      <w:r w:rsidR="004468FB" w:rsidRPr="0029175B">
        <w:rPr>
          <w:rStyle w:val="Fett"/>
          <w:b w:val="0"/>
          <w:color w:val="auto"/>
          <w:sz w:val="18"/>
          <w:szCs w:val="18"/>
          <w:lang w:val="en-GB"/>
        </w:rPr>
        <w:t>management</w:t>
      </w:r>
      <w:r w:rsidRPr="0029175B">
        <w:rPr>
          <w:rStyle w:val="Fett"/>
          <w:b w:val="0"/>
          <w:color w:val="auto"/>
          <w:sz w:val="18"/>
          <w:szCs w:val="18"/>
          <w:lang w:val="en-GB"/>
        </w:rPr>
        <w:t xml:space="preserve"> applied have often been a barrier to the use of </w:t>
      </w:r>
      <w:r w:rsidR="005D0067" w:rsidRPr="0029175B">
        <w:rPr>
          <w:rStyle w:val="Fett"/>
          <w:b w:val="0"/>
          <w:color w:val="auto"/>
          <w:sz w:val="18"/>
          <w:szCs w:val="18"/>
          <w:lang w:val="en-GB"/>
        </w:rPr>
        <w:t xml:space="preserve">patient </w:t>
      </w:r>
      <w:r w:rsidRPr="0029175B">
        <w:rPr>
          <w:rStyle w:val="Fett"/>
          <w:b w:val="0"/>
          <w:color w:val="auto"/>
          <w:sz w:val="18"/>
          <w:szCs w:val="18"/>
          <w:lang w:val="en-GB"/>
        </w:rPr>
        <w:t>disease registries by regulators</w:t>
      </w:r>
      <w:r w:rsidR="00144771" w:rsidRPr="0029175B">
        <w:rPr>
          <w:rStyle w:val="Fett"/>
          <w:b w:val="0"/>
          <w:color w:val="auto"/>
          <w:sz w:val="18"/>
          <w:szCs w:val="18"/>
          <w:lang w:val="en-GB"/>
        </w:rPr>
        <w:t xml:space="preserve"> and MAHs</w:t>
      </w:r>
      <w:r w:rsidRPr="0029175B">
        <w:rPr>
          <w:rStyle w:val="Fett"/>
          <w:b w:val="0"/>
          <w:color w:val="auto"/>
          <w:sz w:val="18"/>
          <w:szCs w:val="18"/>
          <w:lang w:val="en-GB"/>
        </w:rPr>
        <w:t xml:space="preserve"> as these uncertainties undermine the confidence in the validity and reliability of the evidence generated. Concerns about data quality are particularly important in the context of post-authorisation registry studies imposed to MAHs by regulators as a condition of the marketing authorisation, where the </w:t>
      </w:r>
      <w:r w:rsidR="00144771" w:rsidRPr="0029175B">
        <w:rPr>
          <w:rStyle w:val="Fett"/>
          <w:b w:val="0"/>
          <w:color w:val="auto"/>
          <w:sz w:val="18"/>
          <w:szCs w:val="18"/>
          <w:lang w:val="en-GB"/>
        </w:rPr>
        <w:t xml:space="preserve">legal </w:t>
      </w:r>
      <w:r w:rsidRPr="0029175B">
        <w:rPr>
          <w:rStyle w:val="Fett"/>
          <w:b w:val="0"/>
          <w:color w:val="auto"/>
          <w:sz w:val="18"/>
          <w:szCs w:val="18"/>
          <w:lang w:val="en-GB"/>
        </w:rPr>
        <w:t>responsibility to conduct the study and provide valid and reliable results lies with the MAHs. This legal context has often stimulated MAHs to create their own product registry providing them full control of the data collection.</w:t>
      </w:r>
    </w:p>
    <w:p w:rsidR="00695135" w:rsidRPr="007C0735" w:rsidRDefault="00D64049" w:rsidP="00695135">
      <w:pPr>
        <w:pStyle w:val="Default"/>
        <w:spacing w:after="140" w:line="280" w:lineRule="exact"/>
        <w:rPr>
          <w:rStyle w:val="Fett"/>
          <w:b w:val="0"/>
          <w:color w:val="auto"/>
          <w:sz w:val="18"/>
          <w:szCs w:val="18"/>
          <w:lang w:val="en-GB"/>
        </w:rPr>
      </w:pPr>
      <w:r w:rsidRPr="00666AB7">
        <w:rPr>
          <w:sz w:val="18"/>
          <w:szCs w:val="18"/>
          <w:lang w:val="en-GB"/>
        </w:rPr>
        <w:t>Quality management consists in four main activities</w:t>
      </w:r>
      <w:r w:rsidR="00FA4B8A" w:rsidRPr="00666AB7">
        <w:rPr>
          <w:sz w:val="18"/>
          <w:szCs w:val="18"/>
          <w:lang w:val="en-GB"/>
        </w:rPr>
        <w:t xml:space="preserve"> </w:t>
      </w:r>
      <w:r w:rsidR="00FA4B8A" w:rsidRPr="00666AB7">
        <w:rPr>
          <w:sz w:val="18"/>
          <w:szCs w:val="18"/>
          <w:lang w:val="en-GB"/>
        </w:rPr>
        <w:fldChar w:fldCharType="begin"/>
      </w:r>
      <w:r w:rsidR="00861617">
        <w:rPr>
          <w:sz w:val="18"/>
          <w:szCs w:val="18"/>
          <w:lang w:val="en-GB"/>
        </w:rPr>
        <w:instrText xml:space="preserve"> ADDIN ZOTERO_ITEM CSL_CITATION {"citationID":"a2995gemlt8","properties":{"formattedCitation":"(28)","plainCitation":"(28)","dontUpdate":true},"citationItems":[{"id":2256,"uris":["http://zotero.org/users/local/tAKp4fcl/items/YKL69C8L"],"uri":["http://zotero.org/users/local/tAKp4fcl/items/YKL69C8L"],"itemData":{"id":2256,"type":"webpage","title":"ENCePP Checklist for Study Protocols. Revision 4","URL":"http://www.encepp.eu/standards_and_guidances/checkListProtocols.shtml","author":[{"literal":"ENCePP, European Network of Centres for Pharmacoepidemiology and Pharmacovigilance"}]}}],"schema":"https://github.com/citation-style-language/schema/raw/master/csl-citation.json"} </w:instrText>
      </w:r>
      <w:r w:rsidR="00FA4B8A" w:rsidRPr="00666AB7">
        <w:rPr>
          <w:sz w:val="18"/>
          <w:szCs w:val="18"/>
          <w:lang w:val="en-GB"/>
        </w:rPr>
        <w:fldChar w:fldCharType="separate"/>
      </w:r>
      <w:r w:rsidR="003039A5" w:rsidRPr="006E7959">
        <w:rPr>
          <w:sz w:val="18"/>
          <w:szCs w:val="18"/>
        </w:rPr>
        <w:t>(</w:t>
      </w:r>
      <w:r w:rsidR="007413B2">
        <w:rPr>
          <w:sz w:val="18"/>
          <w:szCs w:val="18"/>
        </w:rPr>
        <w:t>14</w:t>
      </w:r>
      <w:r w:rsidR="003039A5" w:rsidRPr="006E7959">
        <w:rPr>
          <w:sz w:val="18"/>
          <w:szCs w:val="18"/>
        </w:rPr>
        <w:t>)</w:t>
      </w:r>
      <w:r w:rsidR="00FA4B8A" w:rsidRPr="00666AB7">
        <w:rPr>
          <w:sz w:val="18"/>
          <w:szCs w:val="18"/>
          <w:lang w:val="en-GB"/>
        </w:rPr>
        <w:fldChar w:fldCharType="end"/>
      </w:r>
      <w:r w:rsidRPr="00666AB7">
        <w:rPr>
          <w:sz w:val="18"/>
          <w:szCs w:val="18"/>
          <w:lang w:val="en-GB"/>
        </w:rPr>
        <w:t>:</w:t>
      </w:r>
      <w:r w:rsidRPr="007C0735">
        <w:rPr>
          <w:rStyle w:val="Funotenzeichen"/>
          <w:sz w:val="18"/>
          <w:szCs w:val="18"/>
          <w:lang w:val="en-GB"/>
        </w:rPr>
        <w:t xml:space="preserve"> </w:t>
      </w:r>
    </w:p>
    <w:p w:rsidR="00695135" w:rsidRPr="0029175B" w:rsidRDefault="00D64049" w:rsidP="00695135">
      <w:pPr>
        <w:pStyle w:val="Default"/>
        <w:numPr>
          <w:ilvl w:val="0"/>
          <w:numId w:val="27"/>
        </w:numPr>
        <w:spacing w:after="140" w:line="280" w:lineRule="exact"/>
        <w:rPr>
          <w:bCs/>
          <w:color w:val="auto"/>
          <w:sz w:val="18"/>
          <w:szCs w:val="18"/>
          <w:lang w:val="en-GB"/>
        </w:rPr>
      </w:pPr>
      <w:r w:rsidRPr="0029175B">
        <w:rPr>
          <w:sz w:val="18"/>
          <w:szCs w:val="18"/>
          <w:lang w:val="en-GB"/>
        </w:rPr>
        <w:t>Q</w:t>
      </w:r>
      <w:r w:rsidR="004468FB" w:rsidRPr="0029175B">
        <w:rPr>
          <w:sz w:val="18"/>
          <w:szCs w:val="18"/>
          <w:lang w:val="en-GB"/>
        </w:rPr>
        <w:t>uality planning</w:t>
      </w:r>
      <w:r w:rsidR="00144771" w:rsidRPr="0029175B">
        <w:rPr>
          <w:sz w:val="18"/>
          <w:szCs w:val="18"/>
          <w:lang w:val="en-GB"/>
        </w:rPr>
        <w:t>:</w:t>
      </w:r>
      <w:r w:rsidR="004468FB" w:rsidRPr="0029175B">
        <w:rPr>
          <w:sz w:val="18"/>
          <w:szCs w:val="18"/>
          <w:lang w:val="en-GB"/>
        </w:rPr>
        <w:t xml:space="preserve"> set of activities </w:t>
      </w:r>
      <w:r w:rsidR="00180279">
        <w:rPr>
          <w:sz w:val="18"/>
          <w:szCs w:val="18"/>
          <w:lang w:val="en-GB"/>
        </w:rPr>
        <w:t>with the</w:t>
      </w:r>
      <w:r w:rsidR="00180279" w:rsidRPr="0029175B">
        <w:rPr>
          <w:sz w:val="18"/>
          <w:szCs w:val="18"/>
          <w:lang w:val="en-GB"/>
        </w:rPr>
        <w:t xml:space="preserve"> </w:t>
      </w:r>
      <w:r w:rsidR="004468FB" w:rsidRPr="0029175B">
        <w:rPr>
          <w:sz w:val="18"/>
          <w:szCs w:val="18"/>
          <w:lang w:val="en-GB"/>
        </w:rPr>
        <w:t>purpose</w:t>
      </w:r>
      <w:r w:rsidR="00180279">
        <w:rPr>
          <w:sz w:val="18"/>
          <w:szCs w:val="18"/>
          <w:lang w:val="en-GB"/>
        </w:rPr>
        <w:t>s</w:t>
      </w:r>
      <w:r w:rsidR="004468FB" w:rsidRPr="0029175B">
        <w:rPr>
          <w:sz w:val="18"/>
          <w:szCs w:val="18"/>
          <w:lang w:val="en-GB"/>
        </w:rPr>
        <w:t xml:space="preserve"> to define quality system policies, objectives and requirements, and to explain how thes</w:t>
      </w:r>
      <w:r w:rsidR="00950368" w:rsidRPr="0029175B">
        <w:rPr>
          <w:sz w:val="18"/>
          <w:szCs w:val="18"/>
          <w:lang w:val="en-GB"/>
        </w:rPr>
        <w:t>e will be applied and achieved;</w:t>
      </w:r>
    </w:p>
    <w:p w:rsidR="00695135" w:rsidRPr="0029175B" w:rsidRDefault="00D64049" w:rsidP="00695135">
      <w:pPr>
        <w:pStyle w:val="Default"/>
        <w:numPr>
          <w:ilvl w:val="0"/>
          <w:numId w:val="27"/>
        </w:numPr>
        <w:spacing w:after="140" w:line="280" w:lineRule="exact"/>
        <w:rPr>
          <w:bCs/>
          <w:color w:val="auto"/>
          <w:sz w:val="18"/>
          <w:szCs w:val="18"/>
          <w:lang w:val="en-GB"/>
        </w:rPr>
      </w:pPr>
      <w:r w:rsidRPr="0029175B">
        <w:rPr>
          <w:sz w:val="18"/>
          <w:szCs w:val="18"/>
          <w:lang w:val="en-GB"/>
        </w:rPr>
        <w:t>Q</w:t>
      </w:r>
      <w:r w:rsidR="004468FB" w:rsidRPr="0029175B">
        <w:rPr>
          <w:sz w:val="18"/>
          <w:szCs w:val="18"/>
          <w:lang w:val="en-GB"/>
        </w:rPr>
        <w:t>uality assurance</w:t>
      </w:r>
      <w:r w:rsidR="00144771" w:rsidRPr="0029175B">
        <w:rPr>
          <w:sz w:val="18"/>
          <w:szCs w:val="18"/>
          <w:lang w:val="en-GB"/>
        </w:rPr>
        <w:t>:</w:t>
      </w:r>
      <w:r w:rsidR="004468FB" w:rsidRPr="0029175B">
        <w:rPr>
          <w:sz w:val="18"/>
          <w:szCs w:val="18"/>
          <w:lang w:val="en-GB"/>
        </w:rPr>
        <w:t xml:space="preserve"> </w:t>
      </w:r>
      <w:r w:rsidR="00950368" w:rsidRPr="0029175B">
        <w:rPr>
          <w:sz w:val="18"/>
          <w:szCs w:val="18"/>
          <w:lang w:val="en-GB"/>
        </w:rPr>
        <w:t>quality</w:t>
      </w:r>
      <w:r w:rsidR="004468FB" w:rsidRPr="0029175B">
        <w:rPr>
          <w:sz w:val="18"/>
          <w:szCs w:val="18"/>
          <w:lang w:val="en-GB"/>
        </w:rPr>
        <w:t xml:space="preserve"> standards</w:t>
      </w:r>
      <w:r w:rsidR="00950368" w:rsidRPr="0029175B">
        <w:rPr>
          <w:sz w:val="18"/>
          <w:szCs w:val="18"/>
          <w:lang w:val="en-GB"/>
        </w:rPr>
        <w:t xml:space="preserve"> for the registry data, procedures and computerised systems</w:t>
      </w:r>
      <w:r w:rsidR="004468FB" w:rsidRPr="0029175B">
        <w:rPr>
          <w:sz w:val="18"/>
          <w:szCs w:val="18"/>
          <w:lang w:val="en-GB"/>
        </w:rPr>
        <w:t xml:space="preserve"> to be followed in order to meet the quality requirements</w:t>
      </w:r>
      <w:r w:rsidR="00950368" w:rsidRPr="0029175B">
        <w:rPr>
          <w:sz w:val="18"/>
          <w:szCs w:val="18"/>
          <w:lang w:val="en-GB"/>
        </w:rPr>
        <w:t>;</w:t>
      </w:r>
    </w:p>
    <w:p w:rsidR="00695135" w:rsidRPr="0029175B" w:rsidRDefault="00D64049" w:rsidP="00695135">
      <w:pPr>
        <w:pStyle w:val="Default"/>
        <w:numPr>
          <w:ilvl w:val="0"/>
          <w:numId w:val="27"/>
        </w:numPr>
        <w:spacing w:after="140" w:line="280" w:lineRule="exact"/>
        <w:rPr>
          <w:bCs/>
          <w:color w:val="auto"/>
          <w:sz w:val="18"/>
          <w:szCs w:val="18"/>
          <w:lang w:val="en-GB"/>
        </w:rPr>
      </w:pPr>
      <w:r w:rsidRPr="0029175B">
        <w:rPr>
          <w:sz w:val="18"/>
          <w:szCs w:val="18"/>
          <w:lang w:val="en-GB"/>
        </w:rPr>
        <w:lastRenderedPageBreak/>
        <w:t>Q</w:t>
      </w:r>
      <w:r w:rsidR="00950368" w:rsidRPr="0029175B">
        <w:rPr>
          <w:sz w:val="18"/>
          <w:szCs w:val="18"/>
          <w:lang w:val="en-GB"/>
        </w:rPr>
        <w:t>uality control</w:t>
      </w:r>
      <w:r w:rsidR="00144771" w:rsidRPr="0029175B">
        <w:rPr>
          <w:sz w:val="18"/>
          <w:szCs w:val="18"/>
          <w:lang w:val="en-GB"/>
        </w:rPr>
        <w:t>: activities undertaken to ensure</w:t>
      </w:r>
      <w:r w:rsidR="00950368" w:rsidRPr="0029175B">
        <w:rPr>
          <w:sz w:val="18"/>
          <w:szCs w:val="18"/>
          <w:lang w:val="en-GB"/>
        </w:rPr>
        <w:t xml:space="preserve"> that the defined standards are followed at every step</w:t>
      </w:r>
      <w:r w:rsidR="00144771" w:rsidRPr="0029175B">
        <w:rPr>
          <w:sz w:val="18"/>
          <w:szCs w:val="18"/>
          <w:lang w:val="en-GB"/>
        </w:rPr>
        <w:t>;</w:t>
      </w:r>
      <w:r w:rsidR="00950368" w:rsidRPr="0029175B">
        <w:rPr>
          <w:sz w:val="18"/>
          <w:szCs w:val="18"/>
          <w:lang w:val="en-GB"/>
        </w:rPr>
        <w:t xml:space="preserve"> </w:t>
      </w:r>
    </w:p>
    <w:p w:rsidR="00AD4CBC" w:rsidRPr="0029175B" w:rsidRDefault="00D64049" w:rsidP="00695135">
      <w:pPr>
        <w:pStyle w:val="Default"/>
        <w:numPr>
          <w:ilvl w:val="0"/>
          <w:numId w:val="27"/>
        </w:numPr>
        <w:spacing w:after="140" w:line="280" w:lineRule="exact"/>
        <w:rPr>
          <w:rStyle w:val="Fett"/>
          <w:b w:val="0"/>
          <w:color w:val="auto"/>
          <w:sz w:val="18"/>
          <w:szCs w:val="18"/>
          <w:lang w:val="en-GB"/>
        </w:rPr>
      </w:pPr>
      <w:r w:rsidRPr="0029175B">
        <w:rPr>
          <w:sz w:val="18"/>
          <w:szCs w:val="18"/>
          <w:lang w:val="en-GB"/>
        </w:rPr>
        <w:t>Q</w:t>
      </w:r>
      <w:r w:rsidR="004468FB" w:rsidRPr="0029175B">
        <w:rPr>
          <w:sz w:val="18"/>
          <w:szCs w:val="18"/>
          <w:lang w:val="en-GB"/>
        </w:rPr>
        <w:t>uality improvement</w:t>
      </w:r>
      <w:r w:rsidR="00144771" w:rsidRPr="0029175B">
        <w:rPr>
          <w:sz w:val="18"/>
          <w:szCs w:val="18"/>
          <w:lang w:val="en-GB"/>
        </w:rPr>
        <w:t>: activities undertaken to enhance</w:t>
      </w:r>
      <w:r w:rsidR="004468FB" w:rsidRPr="0029175B">
        <w:rPr>
          <w:sz w:val="18"/>
          <w:szCs w:val="18"/>
          <w:lang w:val="en-GB"/>
        </w:rPr>
        <w:t xml:space="preserve"> an organisation's ability to meet quality requirements.</w:t>
      </w:r>
      <w:r w:rsidR="00950368" w:rsidRPr="0029175B">
        <w:rPr>
          <w:rStyle w:val="Fett"/>
          <w:b w:val="0"/>
          <w:color w:val="auto"/>
          <w:sz w:val="18"/>
          <w:szCs w:val="18"/>
          <w:lang w:val="en-GB"/>
        </w:rPr>
        <w:t xml:space="preserve"> </w:t>
      </w:r>
    </w:p>
    <w:p w:rsidR="00AE6644" w:rsidRPr="0029175B" w:rsidRDefault="00D64049" w:rsidP="00AE6644">
      <w:pPr>
        <w:pStyle w:val="Default"/>
        <w:spacing w:after="140" w:line="280" w:lineRule="exact"/>
        <w:rPr>
          <w:rStyle w:val="Fett"/>
          <w:b w:val="0"/>
          <w:color w:val="auto"/>
          <w:sz w:val="18"/>
          <w:szCs w:val="18"/>
          <w:lang w:val="en-GB"/>
        </w:rPr>
      </w:pPr>
      <w:r w:rsidRPr="0029175B">
        <w:rPr>
          <w:rStyle w:val="Fett"/>
          <w:b w:val="0"/>
          <w:color w:val="auto"/>
          <w:sz w:val="18"/>
          <w:szCs w:val="18"/>
          <w:lang w:val="en-GB"/>
        </w:rPr>
        <w:t>Quality management should be part of the coordination of all registries in order to achieve a level sufficient for the intended purpose of the registry. In addition, registry coordinators should regularly assess and report on quality assurance activities. These activities may be costly and should be supported by dedicated funding mechanisms.</w:t>
      </w:r>
    </w:p>
    <w:p w:rsidR="00AD4CBC" w:rsidRPr="008B040E" w:rsidRDefault="00D64049" w:rsidP="008B040E">
      <w:pPr>
        <w:pStyle w:val="Heading3Agency"/>
        <w:rPr>
          <w:rStyle w:val="Fett"/>
          <w:b/>
          <w:bCs/>
        </w:rPr>
      </w:pPr>
      <w:bookmarkStart w:id="91" w:name="_Toc528934933"/>
      <w:r w:rsidRPr="008B040E">
        <w:rPr>
          <w:rStyle w:val="Fett"/>
          <w:b/>
          <w:bCs/>
        </w:rPr>
        <w:t>Requirements of data quality</w:t>
      </w:r>
      <w:bookmarkEnd w:id="91"/>
    </w:p>
    <w:p w:rsidR="00AD4CBC" w:rsidRPr="0029175B" w:rsidRDefault="00D64049" w:rsidP="00AD4CBC">
      <w:pPr>
        <w:pStyle w:val="Default"/>
        <w:spacing w:after="140" w:line="280" w:lineRule="exact"/>
        <w:rPr>
          <w:rStyle w:val="Fett"/>
          <w:b w:val="0"/>
          <w:color w:val="auto"/>
          <w:sz w:val="18"/>
          <w:szCs w:val="18"/>
          <w:lang w:val="en-GB"/>
        </w:rPr>
      </w:pPr>
      <w:r w:rsidRPr="0029175B">
        <w:rPr>
          <w:rStyle w:val="Fett"/>
          <w:b w:val="0"/>
          <w:color w:val="auto"/>
          <w:sz w:val="18"/>
          <w:szCs w:val="18"/>
          <w:lang w:val="en-GB"/>
        </w:rPr>
        <w:t xml:space="preserve">Data quality includes four main components: </w:t>
      </w:r>
    </w:p>
    <w:p w:rsidR="00AD4CBC" w:rsidRPr="0029175B" w:rsidRDefault="00D64049" w:rsidP="00AD4CBC">
      <w:pPr>
        <w:pStyle w:val="Listenabsatz"/>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Consistency: the formats and definitions of the data entered in the registry are consistent over time and across different registries, especially across those of patients with a same disease; this component relates to the availability and use of a minimum set of common core data elements, common definitions, common data entry procedures and of mechanisms to implement changes in nomenclature systems</w:t>
      </w:r>
      <w:r w:rsidR="007413B2">
        <w:rPr>
          <w:rFonts w:ascii="Verdana" w:hAnsi="Verdana" w:cs="Verdana"/>
          <w:color w:val="000000"/>
          <w:sz w:val="18"/>
          <w:szCs w:val="18"/>
        </w:rPr>
        <w:t xml:space="preserve"> if needed</w:t>
      </w:r>
      <w:r w:rsidRPr="0029175B">
        <w:rPr>
          <w:rFonts w:ascii="Verdana" w:hAnsi="Verdana" w:cs="Verdana"/>
          <w:color w:val="000000"/>
          <w:sz w:val="18"/>
          <w:szCs w:val="18"/>
        </w:rPr>
        <w:t xml:space="preserve">. </w:t>
      </w:r>
    </w:p>
    <w:p w:rsidR="00AD4CBC" w:rsidRPr="0029175B" w:rsidRDefault="00D64049" w:rsidP="00AD4CBC">
      <w:pPr>
        <w:pStyle w:val="Listenabsatz"/>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Completeness: complete information on all eligible patients is re</w:t>
      </w:r>
      <w:r w:rsidR="00695F58">
        <w:rPr>
          <w:rFonts w:ascii="Verdana" w:hAnsi="Verdana" w:cs="Verdana"/>
          <w:color w:val="000000"/>
          <w:sz w:val="18"/>
          <w:szCs w:val="18"/>
        </w:rPr>
        <w:t>corded</w:t>
      </w:r>
      <w:r w:rsidRPr="0029175B">
        <w:rPr>
          <w:rFonts w:ascii="Verdana" w:hAnsi="Verdana" w:cs="Verdana"/>
          <w:color w:val="000000"/>
          <w:sz w:val="18"/>
          <w:szCs w:val="18"/>
        </w:rPr>
        <w:t xml:space="preserve">, with verification of missing data to keep them at a minimum. </w:t>
      </w:r>
    </w:p>
    <w:p w:rsidR="00AD4CBC" w:rsidRPr="0029175B" w:rsidRDefault="00D64049" w:rsidP="00AD4CBC">
      <w:pPr>
        <w:pStyle w:val="Listenabsatz"/>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 xml:space="preserve">Accuracy: the data available in the registry </w:t>
      </w:r>
      <w:r w:rsidR="00E813C5">
        <w:rPr>
          <w:rFonts w:ascii="Verdana" w:hAnsi="Verdana" w:cs="Verdana"/>
          <w:color w:val="000000"/>
          <w:sz w:val="18"/>
          <w:szCs w:val="18"/>
        </w:rPr>
        <w:t>is</w:t>
      </w:r>
      <w:r w:rsidR="00E813C5" w:rsidRPr="0029175B">
        <w:rPr>
          <w:rFonts w:ascii="Verdana" w:hAnsi="Verdana" w:cs="Verdana"/>
          <w:color w:val="000000"/>
          <w:sz w:val="18"/>
          <w:szCs w:val="18"/>
        </w:rPr>
        <w:t xml:space="preserve"> </w:t>
      </w:r>
      <w:r w:rsidRPr="0029175B">
        <w:rPr>
          <w:rFonts w:ascii="Verdana" w:hAnsi="Verdana" w:cs="Verdana"/>
          <w:color w:val="000000"/>
          <w:sz w:val="18"/>
          <w:szCs w:val="18"/>
        </w:rPr>
        <w:t>a correct representation of patient data, e.g. data available in medical charts or records</w:t>
      </w:r>
      <w:r w:rsidR="00AC67EB">
        <w:rPr>
          <w:rFonts w:ascii="Verdana" w:hAnsi="Verdana" w:cs="Verdana"/>
          <w:color w:val="000000"/>
          <w:sz w:val="18"/>
          <w:szCs w:val="18"/>
        </w:rPr>
        <w:t>.</w:t>
      </w:r>
    </w:p>
    <w:p w:rsidR="00AD4CBC" w:rsidRPr="0029175B" w:rsidRDefault="00D64049" w:rsidP="00AD4CBC">
      <w:pPr>
        <w:pStyle w:val="Listenabsatz"/>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Timeliness: there is a timely recording and reporting of data based on their intended use and in compliance with an agreed procedure.</w:t>
      </w:r>
    </w:p>
    <w:p w:rsidR="00AD4CBC" w:rsidRPr="0029175B" w:rsidRDefault="00D64049" w:rsidP="00AD4CBC">
      <w:pPr>
        <w:pStyle w:val="Listenabsatz"/>
        <w:autoSpaceDE w:val="0"/>
        <w:autoSpaceDN w:val="0"/>
        <w:adjustRightInd w:val="0"/>
        <w:spacing w:after="140" w:line="280" w:lineRule="exact"/>
        <w:ind w:left="0"/>
        <w:contextualSpacing w:val="0"/>
        <w:rPr>
          <w:rFonts w:ascii="Verdana" w:hAnsi="Verdana" w:cs="Verdana"/>
          <w:color w:val="000000"/>
          <w:sz w:val="18"/>
          <w:szCs w:val="18"/>
        </w:rPr>
      </w:pPr>
      <w:r w:rsidRPr="0029175B">
        <w:rPr>
          <w:rFonts w:ascii="Verdana" w:hAnsi="Verdana" w:cs="Verdana"/>
          <w:color w:val="000000"/>
          <w:sz w:val="18"/>
          <w:szCs w:val="18"/>
        </w:rPr>
        <w:t>These four components should be considered as distinct elements, even if some of them can be addressed with the same data quality assurance measures. A good balance will need to be found between introducing additional control measures</w:t>
      </w:r>
      <w:r w:rsidR="00E410A1">
        <w:rPr>
          <w:rFonts w:ascii="Verdana" w:hAnsi="Verdana" w:cs="Verdana"/>
          <w:color w:val="000000"/>
          <w:sz w:val="18"/>
          <w:szCs w:val="18"/>
        </w:rPr>
        <w:t>, avoiding redundancy in data collection</w:t>
      </w:r>
      <w:r w:rsidRPr="0029175B">
        <w:rPr>
          <w:rFonts w:ascii="Verdana" w:hAnsi="Verdana" w:cs="Verdana"/>
          <w:color w:val="000000"/>
          <w:sz w:val="18"/>
          <w:szCs w:val="18"/>
        </w:rPr>
        <w:t xml:space="preserve"> and keeping a manageable time for data entry, as a cumbersome data entry process may increase the amount of missing data.</w:t>
      </w:r>
    </w:p>
    <w:p w:rsidR="00AD4CBC" w:rsidRPr="0029175B" w:rsidRDefault="00D64049" w:rsidP="00AD4CBC">
      <w:pPr>
        <w:pStyle w:val="Listenabsatz"/>
        <w:autoSpaceDE w:val="0"/>
        <w:autoSpaceDN w:val="0"/>
        <w:adjustRightInd w:val="0"/>
        <w:spacing w:after="140" w:line="280" w:lineRule="exact"/>
        <w:ind w:left="0"/>
        <w:contextualSpacing w:val="0"/>
        <w:rPr>
          <w:rFonts w:ascii="Verdana" w:hAnsi="Verdana" w:cs="Verdana"/>
          <w:color w:val="000000"/>
          <w:sz w:val="18"/>
          <w:szCs w:val="18"/>
        </w:rPr>
      </w:pPr>
      <w:r w:rsidRPr="0029175B">
        <w:rPr>
          <w:rFonts w:ascii="Verdana" w:hAnsi="Verdana" w:cs="Verdana"/>
          <w:color w:val="000000"/>
          <w:sz w:val="18"/>
          <w:szCs w:val="18"/>
        </w:rPr>
        <w:t>Data quality is a characteristic of the registry as a whole and quality control and assurance measures should be continuously in place. These routine measures will be beneficial to registry studies, even if studies can introduce additional temporary measures justified by the study objectives, for example a validation of the data entries against medical charts by two independent reviewers, verification of clinical diagnoses through data linkage to hospital data or verification of the information on drug exposure in the study population through data linkage to a claims database.</w:t>
      </w:r>
    </w:p>
    <w:p w:rsidR="00AD4CBC" w:rsidRPr="0029175B" w:rsidRDefault="00D64049" w:rsidP="00AD4CBC">
      <w:pPr>
        <w:pStyle w:val="Listenabsatz"/>
        <w:autoSpaceDE w:val="0"/>
        <w:autoSpaceDN w:val="0"/>
        <w:adjustRightInd w:val="0"/>
        <w:spacing w:after="140" w:line="280" w:lineRule="exact"/>
        <w:ind w:left="0"/>
        <w:contextualSpacing w:val="0"/>
        <w:rPr>
          <w:rFonts w:ascii="Verdana" w:hAnsi="Verdana" w:cs="Verdana"/>
          <w:color w:val="000000"/>
          <w:sz w:val="18"/>
          <w:szCs w:val="18"/>
        </w:rPr>
      </w:pPr>
      <w:r w:rsidRPr="0029175B">
        <w:rPr>
          <w:rFonts w:ascii="Verdana" w:hAnsi="Verdana" w:cs="Verdana"/>
          <w:color w:val="000000"/>
          <w:sz w:val="18"/>
          <w:szCs w:val="18"/>
        </w:rPr>
        <w:t xml:space="preserve">The extent of the work to be done to ensure data quality is highly dependent on the status of the registry. For </w:t>
      </w:r>
      <w:r w:rsidR="00A7721D">
        <w:rPr>
          <w:rFonts w:ascii="Verdana" w:hAnsi="Verdana" w:cs="Verdana"/>
          <w:color w:val="000000"/>
          <w:sz w:val="18"/>
          <w:szCs w:val="18"/>
        </w:rPr>
        <w:t xml:space="preserve">new </w:t>
      </w:r>
      <w:r w:rsidRPr="0029175B">
        <w:rPr>
          <w:rFonts w:ascii="Verdana" w:hAnsi="Verdana" w:cs="Verdana"/>
          <w:color w:val="000000"/>
          <w:sz w:val="18"/>
          <w:szCs w:val="18"/>
        </w:rPr>
        <w:t xml:space="preserve">registries, the choice of the same </w:t>
      </w:r>
      <w:r w:rsidR="00391DE9">
        <w:rPr>
          <w:rFonts w:ascii="Verdana" w:hAnsi="Verdana" w:cs="Verdana"/>
          <w:color w:val="000000"/>
          <w:sz w:val="18"/>
          <w:szCs w:val="18"/>
        </w:rPr>
        <w:t xml:space="preserve">data elements, </w:t>
      </w:r>
      <w:r w:rsidRPr="0029175B">
        <w:rPr>
          <w:rFonts w:ascii="Verdana" w:hAnsi="Verdana" w:cs="Verdana"/>
          <w:color w:val="000000"/>
          <w:sz w:val="18"/>
          <w:szCs w:val="18"/>
        </w:rPr>
        <w:t>terminologies and data entry and control software in all contributing centres will greatly facilitate management of data quality. However, many existing registries use different platforms</w:t>
      </w:r>
      <w:r w:rsidR="005006F8" w:rsidRPr="0029175B">
        <w:rPr>
          <w:rFonts w:ascii="Verdana" w:hAnsi="Verdana" w:cs="Verdana"/>
          <w:color w:val="000000"/>
          <w:sz w:val="18"/>
          <w:szCs w:val="18"/>
        </w:rPr>
        <w:t xml:space="preserve"> and processes</w:t>
      </w:r>
      <w:r w:rsidRPr="0029175B">
        <w:rPr>
          <w:rFonts w:ascii="Verdana" w:hAnsi="Verdana" w:cs="Verdana"/>
          <w:color w:val="000000"/>
          <w:sz w:val="18"/>
          <w:szCs w:val="18"/>
        </w:rPr>
        <w:t xml:space="preserve">, and </w:t>
      </w:r>
      <w:r w:rsidR="00875F32" w:rsidRPr="0029175B">
        <w:rPr>
          <w:rFonts w:ascii="Verdana" w:hAnsi="Verdana" w:cs="Verdana"/>
          <w:color w:val="000000"/>
          <w:sz w:val="18"/>
          <w:szCs w:val="18"/>
        </w:rPr>
        <w:t xml:space="preserve">their </w:t>
      </w:r>
      <w:r w:rsidRPr="0029175B">
        <w:rPr>
          <w:rFonts w:ascii="Verdana" w:hAnsi="Verdana" w:cs="Verdana"/>
          <w:color w:val="000000"/>
          <w:sz w:val="18"/>
          <w:szCs w:val="18"/>
        </w:rPr>
        <w:t xml:space="preserve">harmonisation </w:t>
      </w:r>
      <w:r w:rsidR="00E813C5">
        <w:rPr>
          <w:rFonts w:ascii="Verdana" w:hAnsi="Verdana" w:cs="Verdana"/>
          <w:color w:val="000000"/>
          <w:sz w:val="18"/>
          <w:szCs w:val="18"/>
        </w:rPr>
        <w:t xml:space="preserve">or mapping </w:t>
      </w:r>
      <w:r w:rsidR="00AC67EB">
        <w:rPr>
          <w:rFonts w:ascii="Verdana" w:hAnsi="Verdana" w:cs="Verdana"/>
          <w:color w:val="000000"/>
          <w:sz w:val="18"/>
          <w:szCs w:val="18"/>
        </w:rPr>
        <w:t xml:space="preserve">to international standards </w:t>
      </w:r>
      <w:r w:rsidRPr="0029175B">
        <w:rPr>
          <w:rFonts w:ascii="Verdana" w:hAnsi="Verdana" w:cs="Verdana"/>
          <w:color w:val="000000"/>
          <w:sz w:val="18"/>
          <w:szCs w:val="18"/>
        </w:rPr>
        <w:t xml:space="preserve">should be considered and implemented as far as possible. Real-time data collection, recording and uploading in a central registry platform is not feasible in </w:t>
      </w:r>
      <w:r w:rsidR="00391DE9">
        <w:rPr>
          <w:rFonts w:ascii="Verdana" w:hAnsi="Verdana" w:cs="Verdana"/>
          <w:color w:val="000000"/>
          <w:sz w:val="18"/>
          <w:szCs w:val="18"/>
        </w:rPr>
        <w:t>many</w:t>
      </w:r>
      <w:r w:rsidR="00391DE9" w:rsidRPr="0029175B">
        <w:rPr>
          <w:rFonts w:ascii="Verdana" w:hAnsi="Verdana" w:cs="Verdana"/>
          <w:color w:val="000000"/>
          <w:sz w:val="18"/>
          <w:szCs w:val="18"/>
        </w:rPr>
        <w:t xml:space="preserve"> </w:t>
      </w:r>
      <w:r w:rsidRPr="0029175B">
        <w:rPr>
          <w:rFonts w:ascii="Verdana" w:hAnsi="Verdana" w:cs="Verdana"/>
          <w:color w:val="000000"/>
          <w:sz w:val="18"/>
          <w:szCs w:val="18"/>
        </w:rPr>
        <w:t xml:space="preserve">registries. While it should remain a long-term objective, efforts should </w:t>
      </w:r>
      <w:r>
        <w:rPr>
          <w:rFonts w:ascii="Verdana" w:hAnsi="Verdana" w:cs="Verdana"/>
          <w:color w:val="000000"/>
          <w:sz w:val="18"/>
          <w:szCs w:val="18"/>
        </w:rPr>
        <w:t xml:space="preserve">be </w:t>
      </w:r>
      <w:r w:rsidRPr="0029175B">
        <w:rPr>
          <w:rFonts w:ascii="Verdana" w:hAnsi="Verdana" w:cs="Verdana"/>
          <w:color w:val="000000"/>
          <w:sz w:val="18"/>
          <w:szCs w:val="18"/>
        </w:rPr>
        <w:t xml:space="preserve">directed towards harmonisation of schedules for uploading data to the central platform to allow analysis on pooled data from all centres. </w:t>
      </w:r>
    </w:p>
    <w:p w:rsidR="00AD4CBC" w:rsidRPr="008B040E" w:rsidRDefault="00D64049" w:rsidP="008B040E">
      <w:pPr>
        <w:pStyle w:val="Heading3Agency"/>
      </w:pPr>
      <w:bookmarkStart w:id="92" w:name="_Toc528934934"/>
      <w:r w:rsidRPr="008B040E">
        <w:lastRenderedPageBreak/>
        <w:t>Measures to improve data quality</w:t>
      </w:r>
      <w:bookmarkEnd w:id="92"/>
    </w:p>
    <w:p w:rsidR="00AD4CBC" w:rsidRPr="0029175B" w:rsidRDefault="00D64049" w:rsidP="00AD4CBC">
      <w:pPr>
        <w:pStyle w:val="Default"/>
        <w:spacing w:after="140" w:line="280" w:lineRule="exact"/>
        <w:rPr>
          <w:rStyle w:val="Fett"/>
          <w:b w:val="0"/>
          <w:color w:val="auto"/>
          <w:sz w:val="18"/>
          <w:szCs w:val="18"/>
          <w:lang w:val="en-GB"/>
        </w:rPr>
      </w:pPr>
      <w:r w:rsidRPr="0029175B">
        <w:rPr>
          <w:rStyle w:val="Fett"/>
          <w:b w:val="0"/>
          <w:color w:val="auto"/>
          <w:sz w:val="18"/>
          <w:szCs w:val="18"/>
          <w:lang w:val="en-GB"/>
        </w:rPr>
        <w:t xml:space="preserve">Measures that can be implemented to improve </w:t>
      </w:r>
      <w:r w:rsidR="00875F32" w:rsidRPr="0029175B">
        <w:rPr>
          <w:rStyle w:val="Fett"/>
          <w:b w:val="0"/>
          <w:color w:val="auto"/>
          <w:sz w:val="18"/>
          <w:szCs w:val="18"/>
          <w:lang w:val="en-GB"/>
        </w:rPr>
        <w:t xml:space="preserve">data quality </w:t>
      </w:r>
      <w:r w:rsidRPr="0029175B">
        <w:rPr>
          <w:rStyle w:val="Fett"/>
          <w:b w:val="0"/>
          <w:color w:val="auto"/>
          <w:sz w:val="18"/>
          <w:szCs w:val="18"/>
          <w:lang w:val="en-GB"/>
        </w:rPr>
        <w:t xml:space="preserve">are </w:t>
      </w:r>
      <w:r w:rsidR="006A361A">
        <w:rPr>
          <w:rStyle w:val="Fett"/>
          <w:b w:val="0"/>
          <w:color w:val="auto"/>
          <w:sz w:val="18"/>
          <w:szCs w:val="18"/>
          <w:lang w:val="en-GB"/>
        </w:rPr>
        <w:t xml:space="preserve">presented </w:t>
      </w:r>
      <w:r w:rsidRPr="0029175B">
        <w:rPr>
          <w:rStyle w:val="Fett"/>
          <w:b w:val="0"/>
          <w:color w:val="auto"/>
          <w:sz w:val="18"/>
          <w:szCs w:val="18"/>
          <w:lang w:val="en-GB"/>
        </w:rPr>
        <w:t>in two categories</w:t>
      </w:r>
      <w:r w:rsidR="00391DE9">
        <w:rPr>
          <w:rStyle w:val="Fett"/>
          <w:b w:val="0"/>
          <w:color w:val="auto"/>
          <w:sz w:val="18"/>
          <w:szCs w:val="18"/>
          <w:lang w:val="en-GB"/>
        </w:rPr>
        <w:t>.</w:t>
      </w:r>
      <w:r w:rsidRPr="0029175B">
        <w:rPr>
          <w:rStyle w:val="Fett"/>
          <w:b w:val="0"/>
          <w:color w:val="auto"/>
          <w:sz w:val="18"/>
          <w:szCs w:val="18"/>
          <w:lang w:val="en-GB"/>
        </w:rPr>
        <w:t xml:space="preserve"> Measures at management level are measures that should be initiated or implemented at the level of the registry coordinator (if there is a single registry with several contributing centres) or at the central level of a registry platform (for example in case several national registries collaborate to record data in a similar way for a common purpose). Measures at operational level are measures that should be initiated or implemented at a local level. i.e. in each centre contributing to the registry.</w:t>
      </w:r>
    </w:p>
    <w:p w:rsidR="00AD4CBC" w:rsidRPr="008B040E" w:rsidRDefault="00D64049" w:rsidP="008B040E">
      <w:pPr>
        <w:pStyle w:val="Heading4Agency"/>
        <w:rPr>
          <w:rStyle w:val="Fett"/>
          <w:b/>
          <w:bCs/>
        </w:rPr>
      </w:pPr>
      <w:bookmarkStart w:id="93" w:name="_Toc528934935"/>
      <w:r w:rsidRPr="008B040E">
        <w:rPr>
          <w:rStyle w:val="Fett"/>
          <w:b/>
          <w:bCs/>
        </w:rPr>
        <w:t xml:space="preserve">Data quality </w:t>
      </w:r>
      <w:r w:rsidR="00403319" w:rsidRPr="008B040E">
        <w:rPr>
          <w:rStyle w:val="Fett"/>
          <w:b/>
          <w:bCs/>
        </w:rPr>
        <w:t>activitie</w:t>
      </w:r>
      <w:r w:rsidRPr="008B040E">
        <w:rPr>
          <w:rStyle w:val="Fett"/>
          <w:b/>
          <w:bCs/>
        </w:rPr>
        <w:t>s at management level</w:t>
      </w:r>
      <w:bookmarkEnd w:id="93"/>
    </w:p>
    <w:p w:rsidR="00AD4CBC" w:rsidRPr="0029175B" w:rsidRDefault="00D64049" w:rsidP="006E7959">
      <w:pPr>
        <w:pStyle w:val="Listenabsatz"/>
        <w:numPr>
          <w:ilvl w:val="0"/>
          <w:numId w:val="16"/>
        </w:numPr>
        <w:spacing w:after="140" w:line="280" w:lineRule="exact"/>
        <w:contextualSpacing w:val="0"/>
        <w:rPr>
          <w:rStyle w:val="Fett"/>
          <w:rFonts w:ascii="Verdana" w:hAnsi="Verdana" w:cs="Verdana"/>
          <w:b w:val="0"/>
          <w:color w:val="000000"/>
          <w:sz w:val="18"/>
          <w:szCs w:val="18"/>
          <w:lang w:val="en-US"/>
        </w:rPr>
      </w:pPr>
      <w:r w:rsidRPr="0029175B">
        <w:rPr>
          <w:rStyle w:val="Fett"/>
          <w:rFonts w:ascii="Verdana" w:hAnsi="Verdana" w:cs="Verdana"/>
          <w:b w:val="0"/>
          <w:sz w:val="18"/>
          <w:szCs w:val="18"/>
        </w:rPr>
        <w:t>Registry coordinators should provide to local registries and centres harmonised definitions and data elements; a support function should be made continuously available at central level; use of a common data collection and reporting software should be considered.</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Standard operating procedures, work instructions, manuals and users’ guide should be developed, distributed, maintained and updated as necessary by the central office, and their compliance to their use should be regularly checked.</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 xml:space="preserve">Training sessions on processes should be organised for local registry coordinators, data managers and data custodians as applicable. </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If legally and technically possible, a linkage system with other national databases to double-check data or extract additional information should be established.</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Routine descriptive statistical analyses should be performed at each data upload into the central database to detect missing data, inconsistent data, outliers and losses to follow-up, and to request additional information to the local centres if needed.</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Internal or external audit with on-site review of processes</w:t>
      </w:r>
      <w:r w:rsidR="00A7721D">
        <w:rPr>
          <w:rStyle w:val="Fett"/>
          <w:b w:val="0"/>
          <w:color w:val="auto"/>
          <w:sz w:val="18"/>
          <w:szCs w:val="18"/>
          <w:lang w:val="en-GB"/>
        </w:rPr>
        <w:t xml:space="preserve"> and</w:t>
      </w:r>
      <w:r w:rsidRPr="0029175B">
        <w:rPr>
          <w:rStyle w:val="Fett"/>
          <w:b w:val="0"/>
          <w:color w:val="auto"/>
          <w:sz w:val="18"/>
          <w:szCs w:val="18"/>
          <w:lang w:val="en-GB"/>
        </w:rPr>
        <w:t xml:space="preserve"> data audit may be considered and could be especially useful when planning for a registry study. </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Registry data can be benchmarked to external data source such as national electronic health records to compare the distribution of categories of important variables such as age, gender or prevalence of disease-related drug exposure.</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 xml:space="preserve">Indicators of data quality are defined and measured periodically (see section </w:t>
      </w:r>
      <w:r w:rsidR="00AC67EB">
        <w:rPr>
          <w:rStyle w:val="Fett"/>
          <w:b w:val="0"/>
          <w:color w:val="auto"/>
          <w:sz w:val="18"/>
          <w:szCs w:val="18"/>
          <w:lang w:val="en-GB"/>
        </w:rPr>
        <w:t>5</w:t>
      </w:r>
      <w:r w:rsidR="005006F8" w:rsidRPr="0029175B">
        <w:rPr>
          <w:rStyle w:val="Fett"/>
          <w:b w:val="0"/>
          <w:color w:val="auto"/>
          <w:sz w:val="18"/>
          <w:szCs w:val="18"/>
          <w:lang w:val="en-GB"/>
        </w:rPr>
        <w:t>.6.4</w:t>
      </w:r>
      <w:r w:rsidRPr="0029175B">
        <w:rPr>
          <w:rStyle w:val="Fett"/>
          <w:b w:val="0"/>
          <w:color w:val="auto"/>
          <w:sz w:val="18"/>
          <w:szCs w:val="18"/>
          <w:lang w:val="en-GB"/>
        </w:rPr>
        <w:t>)</w:t>
      </w:r>
      <w:r w:rsidR="00AC67EB">
        <w:rPr>
          <w:rStyle w:val="Fett"/>
          <w:b w:val="0"/>
          <w:color w:val="auto"/>
          <w:sz w:val="18"/>
          <w:szCs w:val="18"/>
          <w:lang w:val="en-GB"/>
        </w:rPr>
        <w:t>.</w:t>
      </w:r>
    </w:p>
    <w:p w:rsidR="00AD4CBC" w:rsidRPr="0029175B" w:rsidRDefault="00D64049">
      <w:pPr>
        <w:pStyle w:val="Default"/>
        <w:numPr>
          <w:ilvl w:val="0"/>
          <w:numId w:val="16"/>
        </w:numPr>
        <w:spacing w:after="140" w:line="280" w:lineRule="exact"/>
        <w:rPr>
          <w:rStyle w:val="Fett"/>
          <w:b w:val="0"/>
          <w:color w:val="auto"/>
          <w:sz w:val="18"/>
          <w:szCs w:val="18"/>
          <w:lang w:val="en-GB"/>
        </w:rPr>
      </w:pPr>
      <w:r w:rsidRPr="0029175B">
        <w:rPr>
          <w:rStyle w:val="Fett"/>
          <w:b w:val="0"/>
          <w:color w:val="auto"/>
          <w:sz w:val="18"/>
          <w:szCs w:val="18"/>
          <w:lang w:val="en-GB"/>
        </w:rPr>
        <w:t>Registries may take the opportunity of a regulatory Qualification of registries by the Committee for Medicinal Products for Human use (CHMP), as illustrated by the Qualification Opinion</w:t>
      </w:r>
      <w:r w:rsidR="00695F58">
        <w:rPr>
          <w:rStyle w:val="Fett"/>
          <w:b w:val="0"/>
          <w:color w:val="auto"/>
          <w:sz w:val="18"/>
          <w:szCs w:val="18"/>
          <w:lang w:val="en-GB"/>
        </w:rPr>
        <w:t>s</w:t>
      </w:r>
      <w:r w:rsidRPr="0029175B">
        <w:rPr>
          <w:rStyle w:val="Fett"/>
          <w:b w:val="0"/>
          <w:color w:val="auto"/>
          <w:sz w:val="18"/>
          <w:szCs w:val="18"/>
          <w:lang w:val="en-GB"/>
        </w:rPr>
        <w:t xml:space="preserve"> issued for the European Cystic Fibrosis Society Patient Registry (ECFSPR) </w:t>
      </w:r>
      <w:r w:rsidR="00F13677" w:rsidRPr="0029175B">
        <w:rPr>
          <w:rStyle w:val="Fett"/>
          <w:b w:val="0"/>
          <w:color w:val="auto"/>
          <w:sz w:val="18"/>
          <w:szCs w:val="18"/>
          <w:lang w:val="en-GB"/>
        </w:rPr>
        <w:fldChar w:fldCharType="begin"/>
      </w:r>
      <w:r w:rsidR="00861617">
        <w:rPr>
          <w:rStyle w:val="Fett"/>
          <w:b w:val="0"/>
          <w:color w:val="auto"/>
          <w:sz w:val="18"/>
          <w:szCs w:val="18"/>
          <w:lang w:val="en-GB"/>
        </w:rPr>
        <w:instrText xml:space="preserve"> ADDIN ZOTERO_ITEM CSL_CITATION {"citationID":"a1iifksors8","properties":{"formattedCitation":"(10)","plainCitation":"(10)"},"citationItems":[{"id":2290,"uris":["http://zotero.org/users/local/tAKp4fcl/items/WQVGYI6X"],"uri":["http://zotero.org/users/local/tAKp4fcl/items/WQVGYI6X"],"itemData":{"id":2290,"type":"article","title":"Qualification opinion - The European Cystic Fibrosis Society Patient Registry (ECFSPR). EMA/CHMP/SAWP/802259/2017","URL":"https://www.ema.europa.eu/documents/regulatory-procedural-guideline/qualification-opinion-european-cystic-fibrosis-society-patient-registry-ecfspr_en.pdf","author":[{"literal":"European Medicines Agency (EMA)"}]}}],"schema":"https://github.com/citation-style-language/schema/raw/master/csl-citation.json"} </w:instrText>
      </w:r>
      <w:r w:rsidR="00F13677" w:rsidRPr="0029175B">
        <w:rPr>
          <w:rStyle w:val="Fett"/>
          <w:b w:val="0"/>
          <w:color w:val="auto"/>
          <w:sz w:val="18"/>
          <w:szCs w:val="18"/>
          <w:lang w:val="en-GB"/>
        </w:rPr>
        <w:fldChar w:fldCharType="separate"/>
      </w:r>
      <w:r w:rsidR="00861617" w:rsidRPr="00861617">
        <w:rPr>
          <w:sz w:val="18"/>
        </w:rPr>
        <w:t>(10)</w:t>
      </w:r>
      <w:r w:rsidR="00F13677" w:rsidRPr="0029175B">
        <w:rPr>
          <w:rStyle w:val="Fett"/>
          <w:b w:val="0"/>
          <w:color w:val="auto"/>
          <w:sz w:val="18"/>
          <w:szCs w:val="18"/>
          <w:lang w:val="en-GB"/>
        </w:rPr>
        <w:fldChar w:fldCharType="end"/>
      </w:r>
      <w:r w:rsidRPr="0029175B">
        <w:rPr>
          <w:rStyle w:val="Fett"/>
          <w:b w:val="0"/>
          <w:color w:val="auto"/>
          <w:sz w:val="18"/>
          <w:szCs w:val="18"/>
          <w:lang w:val="en-GB"/>
        </w:rPr>
        <w:t xml:space="preserve"> and the Cell therapy module of the European Bone Marrow Transplantation (EBMT) Registry</w:t>
      </w:r>
      <w:r>
        <w:rPr>
          <w:rStyle w:val="Fett"/>
          <w:b w:val="0"/>
          <w:color w:val="auto"/>
          <w:sz w:val="18"/>
          <w:szCs w:val="18"/>
          <w:lang w:val="en-GB"/>
        </w:rPr>
        <w:t xml:space="preserve"> </w:t>
      </w:r>
      <w:r w:rsidR="00F13677" w:rsidRPr="0029175B">
        <w:rPr>
          <w:rStyle w:val="Fett"/>
          <w:b w:val="0"/>
          <w:color w:val="auto"/>
          <w:sz w:val="18"/>
          <w:szCs w:val="18"/>
          <w:lang w:val="en-GB"/>
        </w:rPr>
        <w:fldChar w:fldCharType="begin"/>
      </w:r>
      <w:r w:rsidR="00861617">
        <w:rPr>
          <w:rStyle w:val="Fett"/>
          <w:b w:val="0"/>
          <w:color w:val="auto"/>
          <w:sz w:val="18"/>
          <w:szCs w:val="18"/>
          <w:lang w:val="en-GB"/>
        </w:rPr>
        <w:instrText xml:space="preserve"> ADDIN ZOTERO_ITEM CSL_CITATION {"citationID":"a1728f1s4g8","properties":{"formattedCitation":"(11)","plainCitation":"(11)"},"citationItems":[{"id":2229,"uris":["http://zotero.org/users/local/tAKp4fcl/items/DR4KSIVH"],"uri":["http://zotero.org/users/local/tAKp4fcl/items/DR4KSIVH"],"itemData":{"id":2229,"type":"article","title":"Draft qualification opinion on Cellular therapy module of the European Society for Blood &amp; Marrow Transplantation (EBMT) Registry. EMA/CHMP/SAWP/423488/2018","URL":"https://www.ema.europa.eu/documents/regulatory-procedural-guideline/draft-qualification-opinion-cellular-therapy-module-european-society-blood-marrow-transplantation_en.pdf","author":[{"literal":"European Medicines Agency (EMA)"}]}}],"schema":"https://github.com/citation-style-language/schema/raw/master/csl-citation.json"} </w:instrText>
      </w:r>
      <w:r w:rsidR="00F13677" w:rsidRPr="0029175B">
        <w:rPr>
          <w:rStyle w:val="Fett"/>
          <w:b w:val="0"/>
          <w:color w:val="auto"/>
          <w:sz w:val="18"/>
          <w:szCs w:val="18"/>
          <w:lang w:val="en-GB"/>
        </w:rPr>
        <w:fldChar w:fldCharType="separate"/>
      </w:r>
      <w:r w:rsidR="00861617" w:rsidRPr="00861617">
        <w:rPr>
          <w:sz w:val="18"/>
        </w:rPr>
        <w:t>(11)</w:t>
      </w:r>
      <w:r w:rsidR="00F13677" w:rsidRPr="0029175B">
        <w:rPr>
          <w:rStyle w:val="Fett"/>
          <w:b w:val="0"/>
          <w:color w:val="auto"/>
          <w:sz w:val="18"/>
          <w:szCs w:val="18"/>
          <w:lang w:val="en-GB"/>
        </w:rPr>
        <w:fldChar w:fldCharType="end"/>
      </w:r>
      <w:r w:rsidRPr="0029175B">
        <w:rPr>
          <w:rStyle w:val="Fett"/>
          <w:b w:val="0"/>
          <w:color w:val="auto"/>
          <w:sz w:val="18"/>
          <w:szCs w:val="18"/>
          <w:lang w:val="en-GB"/>
        </w:rPr>
        <w:t>.</w:t>
      </w:r>
    </w:p>
    <w:p w:rsidR="00AD4CBC" w:rsidRPr="008B040E" w:rsidRDefault="00D64049" w:rsidP="008B040E">
      <w:pPr>
        <w:pStyle w:val="Heading4Agency"/>
        <w:rPr>
          <w:rStyle w:val="Fett"/>
          <w:b/>
          <w:bCs/>
        </w:rPr>
      </w:pPr>
      <w:bookmarkStart w:id="94" w:name="_Toc528934936"/>
      <w:r w:rsidRPr="008B040E">
        <w:rPr>
          <w:rStyle w:val="Fett"/>
          <w:b/>
          <w:bCs/>
        </w:rPr>
        <w:t xml:space="preserve">Data quality </w:t>
      </w:r>
      <w:r w:rsidR="00403319" w:rsidRPr="008B040E">
        <w:rPr>
          <w:rStyle w:val="Fett"/>
          <w:b/>
          <w:bCs/>
        </w:rPr>
        <w:t>activitie</w:t>
      </w:r>
      <w:r w:rsidRPr="008B040E">
        <w:rPr>
          <w:rStyle w:val="Fett"/>
          <w:b/>
          <w:bCs/>
        </w:rPr>
        <w:t>s at operational level</w:t>
      </w:r>
      <w:bookmarkEnd w:id="94"/>
    </w:p>
    <w:p w:rsidR="00AD4CBC" w:rsidRPr="0029175B" w:rsidRDefault="00D64049">
      <w:pPr>
        <w:pStyle w:val="Default"/>
        <w:numPr>
          <w:ilvl w:val="0"/>
          <w:numId w:val="17"/>
        </w:numPr>
        <w:spacing w:after="140" w:line="280" w:lineRule="exact"/>
        <w:ind w:left="714" w:hanging="357"/>
        <w:rPr>
          <w:rStyle w:val="Fett"/>
          <w:b w:val="0"/>
          <w:color w:val="auto"/>
          <w:sz w:val="18"/>
          <w:szCs w:val="18"/>
          <w:lang w:val="en-GB"/>
        </w:rPr>
      </w:pPr>
      <w:r w:rsidRPr="0029175B">
        <w:rPr>
          <w:rStyle w:val="Fett"/>
          <w:b w:val="0"/>
          <w:color w:val="auto"/>
          <w:sz w:val="18"/>
          <w:szCs w:val="18"/>
          <w:lang w:val="en-GB"/>
        </w:rPr>
        <w:t xml:space="preserve">Standard operating procedures and work instructions should be introduced and followed. </w:t>
      </w:r>
    </w:p>
    <w:p w:rsidR="00AD4CBC" w:rsidRPr="0029175B" w:rsidRDefault="00D64049">
      <w:pPr>
        <w:pStyle w:val="Default"/>
        <w:numPr>
          <w:ilvl w:val="0"/>
          <w:numId w:val="17"/>
        </w:numPr>
        <w:spacing w:after="140" w:line="280" w:lineRule="exact"/>
        <w:ind w:left="714" w:hanging="357"/>
        <w:rPr>
          <w:rStyle w:val="Fett"/>
          <w:b w:val="0"/>
          <w:color w:val="auto"/>
          <w:sz w:val="18"/>
          <w:szCs w:val="18"/>
          <w:lang w:val="en-GB"/>
        </w:rPr>
      </w:pPr>
      <w:r w:rsidRPr="0029175B">
        <w:rPr>
          <w:rStyle w:val="Fett"/>
          <w:b w:val="0"/>
          <w:color w:val="auto"/>
          <w:sz w:val="18"/>
          <w:szCs w:val="18"/>
          <w:lang w:val="en-GB"/>
        </w:rPr>
        <w:t>Accurate data entry is a key component of data quality; adequate training of data manager</w:t>
      </w:r>
      <w:r w:rsidR="00E813C5">
        <w:rPr>
          <w:rStyle w:val="Fett"/>
          <w:b w:val="0"/>
          <w:color w:val="auto"/>
          <w:sz w:val="18"/>
          <w:szCs w:val="18"/>
          <w:lang w:val="en-GB"/>
        </w:rPr>
        <w:t>s</w:t>
      </w:r>
      <w:r w:rsidRPr="0029175B">
        <w:rPr>
          <w:rStyle w:val="Fett"/>
          <w:b w:val="0"/>
          <w:color w:val="auto"/>
          <w:sz w:val="18"/>
          <w:szCs w:val="18"/>
          <w:lang w:val="en-GB"/>
        </w:rPr>
        <w:t xml:space="preserve"> and other persons involved in data entry is critical.</w:t>
      </w:r>
    </w:p>
    <w:p w:rsidR="00AD4CBC" w:rsidRPr="0029175B" w:rsidRDefault="00D64049">
      <w:pPr>
        <w:pStyle w:val="Default"/>
        <w:numPr>
          <w:ilvl w:val="0"/>
          <w:numId w:val="17"/>
        </w:numPr>
        <w:spacing w:after="140" w:line="280" w:lineRule="exact"/>
        <w:ind w:left="714" w:hanging="357"/>
        <w:rPr>
          <w:rStyle w:val="Fett"/>
          <w:b w:val="0"/>
          <w:color w:val="auto"/>
          <w:sz w:val="18"/>
          <w:szCs w:val="18"/>
          <w:lang w:val="en-GB"/>
        </w:rPr>
      </w:pPr>
      <w:r w:rsidRPr="0029175B">
        <w:rPr>
          <w:rStyle w:val="Fett"/>
          <w:b w:val="0"/>
          <w:color w:val="auto"/>
          <w:sz w:val="18"/>
          <w:szCs w:val="18"/>
          <w:lang w:val="en-GB"/>
        </w:rPr>
        <w:t>Automated data quality checks and visual prompts should be in place at data entry to prevent introduction of erroneous or inconsistent data</w:t>
      </w:r>
      <w:r w:rsidR="005D0067" w:rsidRPr="0029175B">
        <w:rPr>
          <w:rStyle w:val="Fett"/>
          <w:b w:val="0"/>
          <w:color w:val="auto"/>
          <w:sz w:val="18"/>
          <w:szCs w:val="18"/>
          <w:lang w:val="en-GB"/>
        </w:rPr>
        <w:t xml:space="preserve"> and trigger source data verification</w:t>
      </w:r>
      <w:r w:rsidRPr="0029175B">
        <w:rPr>
          <w:rStyle w:val="Fett"/>
          <w:b w:val="0"/>
          <w:color w:val="auto"/>
          <w:sz w:val="18"/>
          <w:szCs w:val="18"/>
          <w:lang w:val="en-GB"/>
        </w:rPr>
        <w:t xml:space="preserve">. </w:t>
      </w:r>
    </w:p>
    <w:p w:rsidR="00AD4CBC" w:rsidRPr="0029175B" w:rsidRDefault="00D64049">
      <w:pPr>
        <w:pStyle w:val="Listenabsatz"/>
        <w:numPr>
          <w:ilvl w:val="0"/>
          <w:numId w:val="17"/>
        </w:numPr>
        <w:spacing w:after="140" w:line="280" w:lineRule="exact"/>
        <w:ind w:left="714" w:hanging="357"/>
        <w:contextualSpacing w:val="0"/>
        <w:rPr>
          <w:rStyle w:val="Fett"/>
          <w:rFonts w:ascii="Verdana" w:hAnsi="Verdana" w:cs="Verdana"/>
          <w:b w:val="0"/>
          <w:color w:val="000000"/>
          <w:sz w:val="18"/>
          <w:szCs w:val="18"/>
          <w:lang w:val="en-US"/>
        </w:rPr>
      </w:pPr>
      <w:r w:rsidRPr="0029175B">
        <w:rPr>
          <w:rStyle w:val="Fett"/>
          <w:rFonts w:ascii="Verdana" w:hAnsi="Verdana"/>
          <w:b w:val="0"/>
          <w:sz w:val="18"/>
          <w:szCs w:val="18"/>
        </w:rPr>
        <w:lastRenderedPageBreak/>
        <w:t>Standard data quality control reports should be produced at local level to check for missing, unusual or incorrect data;</w:t>
      </w:r>
      <w:r w:rsidR="005D0067" w:rsidRPr="0029175B">
        <w:rPr>
          <w:rStyle w:val="Fett"/>
          <w:rFonts w:ascii="Verdana" w:hAnsi="Verdana"/>
          <w:b w:val="0"/>
          <w:sz w:val="18"/>
          <w:szCs w:val="18"/>
        </w:rPr>
        <w:t xml:space="preserve"> source data verification </w:t>
      </w:r>
      <w:r w:rsidR="007465D5" w:rsidRPr="0029175B">
        <w:rPr>
          <w:rStyle w:val="Fett"/>
          <w:rFonts w:ascii="Verdana" w:hAnsi="Verdana"/>
          <w:b w:val="0"/>
          <w:sz w:val="18"/>
          <w:szCs w:val="18"/>
        </w:rPr>
        <w:t>through manual</w:t>
      </w:r>
      <w:r w:rsidRPr="0029175B">
        <w:rPr>
          <w:rStyle w:val="Fett"/>
          <w:rFonts w:ascii="Verdana" w:hAnsi="Verdana"/>
          <w:b w:val="0"/>
          <w:sz w:val="18"/>
          <w:szCs w:val="18"/>
        </w:rPr>
        <w:t xml:space="preserve"> checks of medical charts or records should be performed secondarily.</w:t>
      </w:r>
    </w:p>
    <w:p w:rsidR="00AD4CBC" w:rsidRPr="0029175B" w:rsidRDefault="00D64049">
      <w:pPr>
        <w:pStyle w:val="Listenabsatz"/>
        <w:numPr>
          <w:ilvl w:val="0"/>
          <w:numId w:val="17"/>
        </w:numPr>
        <w:spacing w:after="140" w:line="280" w:lineRule="exact"/>
        <w:ind w:left="714" w:hanging="357"/>
        <w:contextualSpacing w:val="0"/>
        <w:rPr>
          <w:rStyle w:val="Fett"/>
          <w:rFonts w:ascii="Verdana" w:hAnsi="Verdana" w:cs="Verdana"/>
          <w:b w:val="0"/>
          <w:color w:val="000000"/>
          <w:sz w:val="18"/>
          <w:szCs w:val="18"/>
          <w:lang w:val="en-US"/>
        </w:rPr>
      </w:pPr>
      <w:r w:rsidRPr="0029175B">
        <w:rPr>
          <w:rStyle w:val="Fett"/>
          <w:rFonts w:ascii="Verdana" w:hAnsi="Verdana"/>
          <w:b w:val="0"/>
          <w:sz w:val="18"/>
          <w:szCs w:val="18"/>
        </w:rPr>
        <w:t xml:space="preserve">The procedure for data submission to the central registry should </w:t>
      </w:r>
      <w:r w:rsidR="0000675E">
        <w:rPr>
          <w:rStyle w:val="Fett"/>
          <w:rFonts w:ascii="Verdana" w:hAnsi="Verdana"/>
          <w:b w:val="0"/>
          <w:sz w:val="18"/>
          <w:szCs w:val="18"/>
        </w:rPr>
        <w:t xml:space="preserve">include </w:t>
      </w:r>
      <w:r w:rsidRPr="0029175B">
        <w:rPr>
          <w:rStyle w:val="Fett"/>
          <w:rFonts w:ascii="Verdana" w:hAnsi="Verdana"/>
          <w:b w:val="0"/>
          <w:sz w:val="18"/>
          <w:szCs w:val="18"/>
        </w:rPr>
        <w:t>in a first stage a check of the completeness of the data and provide the sender a missing data report used to increase completeness.</w:t>
      </w:r>
    </w:p>
    <w:p w:rsidR="00AD4CBC" w:rsidRPr="0029175B" w:rsidRDefault="00D64049" w:rsidP="00AD4CBC">
      <w:pPr>
        <w:pStyle w:val="Listenabsatz"/>
        <w:numPr>
          <w:ilvl w:val="0"/>
          <w:numId w:val="17"/>
        </w:numPr>
        <w:spacing w:after="140" w:line="280" w:lineRule="exact"/>
        <w:ind w:left="714" w:hanging="357"/>
        <w:contextualSpacing w:val="0"/>
        <w:rPr>
          <w:rStyle w:val="Fett"/>
          <w:rFonts w:ascii="Verdana" w:hAnsi="Verdana" w:cs="Verdana"/>
          <w:b w:val="0"/>
          <w:sz w:val="18"/>
          <w:szCs w:val="18"/>
        </w:rPr>
      </w:pPr>
      <w:r w:rsidRPr="0029175B">
        <w:rPr>
          <w:rStyle w:val="Fett"/>
          <w:rFonts w:ascii="Verdana" w:hAnsi="Verdana" w:cs="Verdana"/>
          <w:b w:val="0"/>
          <w:sz w:val="18"/>
          <w:szCs w:val="18"/>
        </w:rPr>
        <w:t>Indicators of data quality are measured periodically.</w:t>
      </w:r>
    </w:p>
    <w:p w:rsidR="00AD4CBC" w:rsidRPr="008B040E" w:rsidRDefault="00D64049" w:rsidP="008B040E">
      <w:pPr>
        <w:pStyle w:val="Heading3Agency"/>
        <w:rPr>
          <w:rStyle w:val="Fett"/>
          <w:b/>
          <w:bCs/>
        </w:rPr>
      </w:pPr>
      <w:bookmarkStart w:id="95" w:name="_Toc528934937"/>
      <w:r w:rsidRPr="008B040E">
        <w:rPr>
          <w:rStyle w:val="Fett"/>
          <w:b/>
          <w:bCs/>
        </w:rPr>
        <w:t>Indicators of data quality</w:t>
      </w:r>
      <w:bookmarkEnd w:id="95"/>
    </w:p>
    <w:p w:rsidR="00AD4CBC" w:rsidRPr="0029175B" w:rsidRDefault="00D64049" w:rsidP="00AD4CBC">
      <w:pPr>
        <w:pStyle w:val="Default"/>
        <w:spacing w:after="140" w:line="280" w:lineRule="exact"/>
        <w:rPr>
          <w:rStyle w:val="Fett"/>
          <w:b w:val="0"/>
          <w:color w:val="auto"/>
          <w:sz w:val="18"/>
          <w:szCs w:val="18"/>
          <w:vertAlign w:val="superscript"/>
          <w:lang w:val="en-GB"/>
        </w:rPr>
      </w:pPr>
      <w:r w:rsidRPr="0029175B">
        <w:rPr>
          <w:rStyle w:val="Fett"/>
          <w:b w:val="0"/>
          <w:color w:val="auto"/>
          <w:sz w:val="18"/>
          <w:szCs w:val="18"/>
          <w:lang w:val="en-GB"/>
        </w:rPr>
        <w:t>Indicators of data quality may be useful tools to measure and improve data quality</w:t>
      </w:r>
      <w:r w:rsidR="00E61D05" w:rsidRPr="0029175B">
        <w:rPr>
          <w:rStyle w:val="Fett"/>
          <w:b w:val="0"/>
          <w:color w:val="auto"/>
          <w:sz w:val="18"/>
          <w:szCs w:val="18"/>
          <w:lang w:val="en-GB"/>
        </w:rPr>
        <w:t xml:space="preserve"> but they should be associated with </w:t>
      </w:r>
      <w:r w:rsidRPr="0029175B">
        <w:rPr>
          <w:rStyle w:val="Fett"/>
          <w:b w:val="0"/>
          <w:color w:val="auto"/>
          <w:sz w:val="18"/>
          <w:szCs w:val="18"/>
          <w:lang w:val="en-GB"/>
        </w:rPr>
        <w:t xml:space="preserve">remedial measures </w:t>
      </w:r>
      <w:r w:rsidR="00E61D05" w:rsidRPr="0029175B">
        <w:rPr>
          <w:rStyle w:val="Fett"/>
          <w:b w:val="0"/>
          <w:color w:val="auto"/>
          <w:sz w:val="18"/>
          <w:szCs w:val="18"/>
          <w:lang w:val="en-GB"/>
        </w:rPr>
        <w:t>if acceptable levels of quality are not observed. The feasibility of measuring a large number of indicato</w:t>
      </w:r>
      <w:r w:rsidR="00F73923" w:rsidRPr="0029175B">
        <w:rPr>
          <w:rStyle w:val="Fett"/>
          <w:b w:val="0"/>
          <w:color w:val="auto"/>
          <w:sz w:val="18"/>
          <w:szCs w:val="18"/>
          <w:lang w:val="en-GB"/>
        </w:rPr>
        <w:t>r</w:t>
      </w:r>
      <w:r w:rsidR="00E61D05" w:rsidRPr="0029175B">
        <w:rPr>
          <w:rStyle w:val="Fett"/>
          <w:b w:val="0"/>
          <w:color w:val="auto"/>
          <w:sz w:val="18"/>
          <w:szCs w:val="18"/>
          <w:lang w:val="en-GB"/>
        </w:rPr>
        <w:t>s</w:t>
      </w:r>
      <w:r w:rsidRPr="0029175B">
        <w:rPr>
          <w:rStyle w:val="Fett"/>
          <w:b w:val="0"/>
          <w:color w:val="auto"/>
          <w:sz w:val="18"/>
          <w:szCs w:val="18"/>
          <w:lang w:val="en-GB"/>
        </w:rPr>
        <w:t xml:space="preserve"> may also be an issue. Table 4 provides the example of the quality indicators agreed in the EMA CAR T-cell Therapy Registries Workshop in the context of the monitoring of the CAR-T cell products by the European Bone Marrow Transplantation Registry (EBMT) and the US-based Centre for International Blood and Marrow Transplant Research (CIBMTR), as well as the feasibility of their introduction in routine</w:t>
      </w:r>
      <w:r w:rsidR="00F13677" w:rsidRPr="0029175B">
        <w:rPr>
          <w:rStyle w:val="Fett"/>
          <w:b w:val="0"/>
          <w:color w:val="auto"/>
          <w:sz w:val="18"/>
          <w:szCs w:val="18"/>
          <w:lang w:val="en-GB"/>
        </w:rPr>
        <w:t xml:space="preserve"> </w:t>
      </w:r>
      <w:r w:rsidR="00F13677" w:rsidRPr="0029175B">
        <w:rPr>
          <w:rStyle w:val="Fett"/>
          <w:b w:val="0"/>
          <w:color w:val="auto"/>
          <w:sz w:val="18"/>
          <w:szCs w:val="18"/>
          <w:lang w:val="en-GB"/>
        </w:rPr>
        <w:fldChar w:fldCharType="begin"/>
      </w:r>
      <w:r w:rsidR="00861617">
        <w:rPr>
          <w:rStyle w:val="Fett"/>
          <w:b w:val="0"/>
          <w:color w:val="auto"/>
          <w:sz w:val="18"/>
          <w:szCs w:val="18"/>
          <w:lang w:val="en-GB"/>
        </w:rPr>
        <w:instrText xml:space="preserve"> ADDIN ZOTERO_ITEM CSL_CITATION {"citationID":"a21jh0mir6b","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sidR="00F13677" w:rsidRPr="0029175B">
        <w:rPr>
          <w:rStyle w:val="Fett"/>
          <w:b w:val="0"/>
          <w:color w:val="auto"/>
          <w:sz w:val="18"/>
          <w:szCs w:val="18"/>
          <w:lang w:val="en-GB"/>
        </w:rPr>
        <w:fldChar w:fldCharType="separate"/>
      </w:r>
      <w:r w:rsidR="00861617" w:rsidRPr="00861617">
        <w:rPr>
          <w:sz w:val="18"/>
        </w:rPr>
        <w:t>(8)</w:t>
      </w:r>
      <w:r w:rsidR="00F13677" w:rsidRPr="0029175B">
        <w:rPr>
          <w:rStyle w:val="Fett"/>
          <w:b w:val="0"/>
          <w:color w:val="auto"/>
          <w:sz w:val="18"/>
          <w:szCs w:val="18"/>
          <w:lang w:val="en-GB"/>
        </w:rPr>
        <w:fldChar w:fldCharType="end"/>
      </w:r>
      <w:r w:rsidRPr="0029175B">
        <w:rPr>
          <w:rStyle w:val="Fett"/>
          <w:b w:val="0"/>
          <w:color w:val="auto"/>
          <w:sz w:val="18"/>
          <w:szCs w:val="18"/>
          <w:lang w:val="en-GB"/>
        </w:rPr>
        <w:t xml:space="preserve">. Other examples of quality indicators have been discussed for cystic fibrosis registries </w:t>
      </w:r>
      <w:r w:rsidR="007154F8" w:rsidRPr="0029175B">
        <w:rPr>
          <w:rStyle w:val="Fett"/>
          <w:b w:val="0"/>
          <w:color w:val="auto"/>
          <w:sz w:val="18"/>
          <w:szCs w:val="18"/>
          <w:lang w:val="en-GB"/>
        </w:rPr>
        <w:fldChar w:fldCharType="begin"/>
      </w:r>
      <w:r w:rsidR="00861617">
        <w:rPr>
          <w:rStyle w:val="Fett"/>
          <w:b w:val="0"/>
          <w:color w:val="auto"/>
          <w:sz w:val="18"/>
          <w:szCs w:val="18"/>
          <w:lang w:val="en-GB"/>
        </w:rPr>
        <w:instrText xml:space="preserve"> ADDIN ZOTERO_ITEM CSL_CITATION {"citationID":"a1qtduu6q4j","properties":{"formattedCitation":"(6)","plainCitation":"(6)"},"citationItems":[{"id":2213,"uris":["http://zotero.org/users/local/tAKp4fcl/items/Z32MBVGG"],"uri":["http://zotero.org/users/local/tAKp4fcl/items/Z32MBVGG"],"itemData":{"id":2213,"type":"article","title":"Report on Cystic Fibrosis Registries - Workshop 14 June 2017. Patient Registries Initiative. EMA/510601/2017","URL":"http://www.ema.europa.eu/docs/en_GB/document_library/Report/2017/10/WC500236631.pdf","author":[{"literal":"European Medicines Agency (EMA)"}],"issued":{"date-parts":[["2017",9,15]]}}}],"schema":"https://github.com/citation-style-language/schema/raw/master/csl-citation.json"} </w:instrText>
      </w:r>
      <w:r w:rsidR="007154F8" w:rsidRPr="0029175B">
        <w:rPr>
          <w:rStyle w:val="Fett"/>
          <w:b w:val="0"/>
          <w:color w:val="auto"/>
          <w:sz w:val="18"/>
          <w:szCs w:val="18"/>
          <w:lang w:val="en-GB"/>
        </w:rPr>
        <w:fldChar w:fldCharType="separate"/>
      </w:r>
      <w:r w:rsidR="00861617" w:rsidRPr="00861617">
        <w:rPr>
          <w:sz w:val="18"/>
        </w:rPr>
        <w:t>(6)</w:t>
      </w:r>
      <w:r w:rsidR="007154F8" w:rsidRPr="0029175B">
        <w:rPr>
          <w:rStyle w:val="Fett"/>
          <w:b w:val="0"/>
          <w:color w:val="auto"/>
          <w:sz w:val="18"/>
          <w:szCs w:val="18"/>
          <w:lang w:val="en-GB"/>
        </w:rPr>
        <w:fldChar w:fldCharType="end"/>
      </w:r>
      <w:r w:rsidR="007154F8">
        <w:rPr>
          <w:rStyle w:val="Fett"/>
          <w:b w:val="0"/>
          <w:color w:val="auto"/>
          <w:sz w:val="18"/>
          <w:szCs w:val="18"/>
          <w:lang w:val="en-GB"/>
        </w:rPr>
        <w:t xml:space="preserve"> </w:t>
      </w:r>
      <w:r w:rsidRPr="0029175B">
        <w:rPr>
          <w:rStyle w:val="Fett"/>
          <w:b w:val="0"/>
          <w:color w:val="auto"/>
          <w:sz w:val="18"/>
          <w:szCs w:val="18"/>
          <w:lang w:val="en-GB"/>
        </w:rPr>
        <w:t>and for multiple sclerosis registries</w:t>
      </w:r>
      <w:r w:rsidR="00F13677" w:rsidRPr="0029175B">
        <w:rPr>
          <w:rStyle w:val="Fett"/>
          <w:b w:val="0"/>
          <w:color w:val="auto"/>
          <w:sz w:val="18"/>
          <w:szCs w:val="18"/>
          <w:lang w:val="en-GB"/>
        </w:rPr>
        <w:t xml:space="preserve"> </w:t>
      </w:r>
      <w:r w:rsidR="00F13677" w:rsidRPr="0029175B">
        <w:rPr>
          <w:rStyle w:val="Fett"/>
          <w:b w:val="0"/>
          <w:color w:val="auto"/>
          <w:sz w:val="18"/>
          <w:szCs w:val="18"/>
          <w:lang w:val="en-GB"/>
        </w:rPr>
        <w:fldChar w:fldCharType="begin"/>
      </w:r>
      <w:r w:rsidR="00861617">
        <w:rPr>
          <w:rStyle w:val="Fett"/>
          <w:b w:val="0"/>
          <w:color w:val="auto"/>
          <w:sz w:val="18"/>
          <w:szCs w:val="18"/>
          <w:lang w:val="en-GB"/>
        </w:rPr>
        <w:instrText xml:space="preserve"> ADDIN ZOTERO_ITEM CSL_CITATION {"citationID":"a2383r892s2","properties":{"formattedCitation":"(7)","plainCitation":"(7)"},"citationItems":[{"id":2241,"uris":["http://zotero.org/users/local/tAKp4fcl/items/WCM4PCET"],"uri":["http://zotero.org/users/local/tAKp4fcl/items/WCM4PCET"],"itemData":{"id":2241,"type":"article","title":"Report on Multiple Sclerosis Registries - Workshop 7 July 2017. Patient Registries Initiative. EMA/548474/2017","URL":"http://www.ema.europa.eu/docs/en_GB/document_library/Report/2017/10/WC500236644.pdf","author":[{"literal":"European Medicines Agency (EMA)"}],"issued":{"date-parts":[["2017",10,9]]}}}],"schema":"https://github.com/citation-style-language/schema/raw/master/csl-citation.json"} </w:instrText>
      </w:r>
      <w:r w:rsidR="00F13677" w:rsidRPr="0029175B">
        <w:rPr>
          <w:rStyle w:val="Fett"/>
          <w:b w:val="0"/>
          <w:color w:val="auto"/>
          <w:sz w:val="18"/>
          <w:szCs w:val="18"/>
          <w:lang w:val="en-GB"/>
        </w:rPr>
        <w:fldChar w:fldCharType="separate"/>
      </w:r>
      <w:r w:rsidR="00861617" w:rsidRPr="00861617">
        <w:rPr>
          <w:sz w:val="18"/>
        </w:rPr>
        <w:t>(7)</w:t>
      </w:r>
      <w:r w:rsidR="00F13677" w:rsidRPr="0029175B">
        <w:rPr>
          <w:rStyle w:val="Fett"/>
          <w:b w:val="0"/>
          <w:color w:val="auto"/>
          <w:sz w:val="18"/>
          <w:szCs w:val="18"/>
          <w:lang w:val="en-GB"/>
        </w:rPr>
        <w:fldChar w:fldCharType="end"/>
      </w:r>
      <w:r w:rsidR="00586C1B" w:rsidRPr="0029175B">
        <w:rPr>
          <w:rStyle w:val="Fett"/>
          <w:b w:val="0"/>
          <w:color w:val="auto"/>
          <w:sz w:val="18"/>
          <w:szCs w:val="18"/>
          <w:lang w:val="en-GB"/>
        </w:rPr>
        <w:t>.</w:t>
      </w:r>
    </w:p>
    <w:p w:rsidR="00B343A7" w:rsidRPr="0029175B" w:rsidRDefault="00D64049">
      <w:pPr>
        <w:rPr>
          <w:rStyle w:val="Fett"/>
          <w:rFonts w:eastAsia="Calibri" w:cs="Verdana"/>
          <w:b w:val="0"/>
          <w:lang w:eastAsia="en-US"/>
        </w:rPr>
      </w:pPr>
      <w:r w:rsidRPr="0029175B">
        <w:rPr>
          <w:rStyle w:val="Fett"/>
          <w:b w:val="0"/>
        </w:rPr>
        <w:br w:type="page"/>
      </w:r>
    </w:p>
    <w:p w:rsidR="00AD4CBC" w:rsidRPr="0029175B" w:rsidRDefault="00D64049" w:rsidP="00AD4CBC">
      <w:pPr>
        <w:pStyle w:val="Default"/>
        <w:spacing w:after="140" w:line="280" w:lineRule="exact"/>
        <w:rPr>
          <w:rStyle w:val="Fett"/>
          <w:b w:val="0"/>
          <w:color w:val="auto"/>
          <w:sz w:val="18"/>
          <w:szCs w:val="18"/>
          <w:lang w:val="en-GB"/>
        </w:rPr>
      </w:pPr>
      <w:r w:rsidRPr="0029175B">
        <w:rPr>
          <w:rStyle w:val="Fett"/>
          <w:b w:val="0"/>
          <w:color w:val="auto"/>
          <w:sz w:val="18"/>
          <w:szCs w:val="18"/>
          <w:lang w:val="en-GB"/>
        </w:rPr>
        <w:lastRenderedPageBreak/>
        <w:t xml:space="preserve">Table </w:t>
      </w:r>
      <w:r w:rsidR="00B343A7" w:rsidRPr="0029175B">
        <w:rPr>
          <w:rStyle w:val="Fett"/>
          <w:b w:val="0"/>
          <w:color w:val="auto"/>
          <w:sz w:val="18"/>
          <w:szCs w:val="18"/>
          <w:lang w:val="en-GB"/>
        </w:rPr>
        <w:t>4. Proposed indicators of data quality and feasibility of implementation in the EBMT and CIBMTR registries</w:t>
      </w:r>
      <w:r w:rsidR="00E410A1">
        <w:rPr>
          <w:rStyle w:val="Fett"/>
          <w:b w:val="0"/>
          <w:color w:val="auto"/>
          <w:sz w:val="18"/>
          <w:szCs w:val="18"/>
          <w:lang w:val="en-GB"/>
        </w:rPr>
        <w:t xml:space="preserve"> </w:t>
      </w:r>
      <w:r>
        <w:rPr>
          <w:rStyle w:val="Fett"/>
          <w:b w:val="0"/>
          <w:color w:val="auto"/>
          <w:sz w:val="18"/>
          <w:szCs w:val="18"/>
          <w:lang w:val="en-GB"/>
        </w:rPr>
        <w:fldChar w:fldCharType="begin"/>
      </w:r>
      <w:r w:rsidR="00861617">
        <w:rPr>
          <w:rStyle w:val="Fett"/>
          <w:b w:val="0"/>
          <w:color w:val="auto"/>
          <w:sz w:val="18"/>
          <w:szCs w:val="18"/>
          <w:lang w:val="en-GB"/>
        </w:rPr>
        <w:instrText xml:space="preserve"> ADDIN ZOTERO_ITEM CSL_CITATION {"citationID":"a1u3mqfn33r","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Pr>
          <w:rStyle w:val="Fett"/>
          <w:b w:val="0"/>
          <w:color w:val="auto"/>
          <w:sz w:val="18"/>
          <w:szCs w:val="18"/>
          <w:lang w:val="en-GB"/>
        </w:rPr>
        <w:fldChar w:fldCharType="separate"/>
      </w:r>
      <w:r w:rsidR="00861617" w:rsidRPr="00861617">
        <w:rPr>
          <w:sz w:val="18"/>
        </w:rPr>
        <w:t>(8)</w:t>
      </w:r>
      <w:r>
        <w:rPr>
          <w:rStyle w:val="Fett"/>
          <w:b w:val="0"/>
          <w:color w:val="auto"/>
          <w:sz w:val="18"/>
          <w:szCs w:val="18"/>
          <w:lang w:val="en-GB"/>
        </w:rPr>
        <w:fldChar w:fldCharType="end"/>
      </w:r>
      <w:r w:rsidR="00B343A7" w:rsidRPr="0029175B">
        <w:rPr>
          <w:rStyle w:val="Fett"/>
          <w:b w:val="0"/>
          <w:color w:val="auto"/>
          <w:sz w:val="18"/>
          <w:szCs w:val="18"/>
          <w:lang w:val="en-GB"/>
        </w:rPr>
        <w:t>.</w:t>
      </w:r>
      <w:r w:rsidRPr="0029175B">
        <w:rPr>
          <w:rStyle w:val="Fett"/>
          <w:b w:val="0"/>
          <w:color w:val="auto"/>
          <w:sz w:val="18"/>
          <w:szCs w:val="18"/>
          <w:lang w:val="en-GB"/>
        </w:rPr>
        <w:t xml:space="preserve"> </w:t>
      </w:r>
    </w:p>
    <w:tbl>
      <w:tblPr>
        <w:tblStyle w:val="TablegridAgency"/>
        <w:tblW w:w="5000" w:type="pct"/>
        <w:tblLayout w:type="fixed"/>
        <w:tblLook w:val="05E0" w:firstRow="1" w:lastRow="1" w:firstColumn="1" w:lastColumn="1" w:noHBand="0" w:noVBand="1"/>
      </w:tblPr>
      <w:tblGrid>
        <w:gridCol w:w="1385"/>
        <w:gridCol w:w="1845"/>
        <w:gridCol w:w="2126"/>
        <w:gridCol w:w="2126"/>
        <w:gridCol w:w="2147"/>
      </w:tblGrid>
      <w:tr w:rsidR="009A4467" w:rsidTr="009A4467">
        <w:trPr>
          <w:cnfStyle w:val="100000000000" w:firstRow="1" w:lastRow="0" w:firstColumn="0" w:lastColumn="0" w:oddVBand="0" w:evenVBand="0" w:oddHBand="0" w:evenHBand="0" w:firstRowFirstColumn="0" w:firstRowLastColumn="0" w:lastRowFirstColumn="0" w:lastRowLastColumn="0"/>
        </w:trPr>
        <w:tc>
          <w:tcPr>
            <w:tcW w:w="719"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Data Quality Component</w:t>
            </w:r>
          </w:p>
        </w:tc>
        <w:tc>
          <w:tcPr>
            <w:tcW w:w="958"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Definition</w:t>
            </w:r>
          </w:p>
        </w:tc>
        <w:tc>
          <w:tcPr>
            <w:tcW w:w="1104"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Proposed indicators of quality</w:t>
            </w:r>
          </w:p>
        </w:tc>
        <w:tc>
          <w:tcPr>
            <w:tcW w:w="1104"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Quality Solutions to facilitate data quality</w:t>
            </w:r>
          </w:p>
        </w:tc>
        <w:tc>
          <w:tcPr>
            <w:tcW w:w="1115" w:type="pct"/>
            <w:vAlign w:val="center"/>
          </w:tcPr>
          <w:p w:rsidR="007F3CF5" w:rsidRPr="0029175B" w:rsidRDefault="00D64049" w:rsidP="009F1698">
            <w:pPr>
              <w:keepNext/>
              <w:jc w:val="center"/>
              <w:rPr>
                <w:rFonts w:eastAsia="Times New Roman"/>
                <w:bCs/>
                <w:color w:val="FFFFFF" w:themeColor="background1"/>
                <w:sz w:val="16"/>
                <w:szCs w:val="16"/>
              </w:rPr>
            </w:pPr>
            <w:r w:rsidRPr="0029175B">
              <w:rPr>
                <w:rFonts w:eastAsia="Times New Roman"/>
                <w:bCs/>
                <w:color w:val="FFFFFF" w:themeColor="background1"/>
                <w:sz w:val="16"/>
                <w:szCs w:val="16"/>
              </w:rPr>
              <w:t>EBMT &amp; CIBMTR feasibility</w:t>
            </w:r>
          </w:p>
        </w:tc>
      </w:tr>
      <w:tr w:rsidR="009A4467" w:rsidTr="009A4467">
        <w:tc>
          <w:tcPr>
            <w:tcW w:w="719" w:type="pct"/>
            <w:vMerge w:val="restart"/>
            <w:vAlign w:val="center"/>
          </w:tcPr>
          <w:p w:rsidR="007F3CF5" w:rsidRPr="0029175B" w:rsidRDefault="00D64049" w:rsidP="009F1698">
            <w:pPr>
              <w:keepNext/>
              <w:rPr>
                <w:rFonts w:eastAsia="Times New Roman"/>
                <w:b/>
                <w:bCs/>
                <w:color w:val="000000"/>
                <w:sz w:val="16"/>
                <w:szCs w:val="16"/>
              </w:rPr>
            </w:pPr>
            <w:r w:rsidRPr="0029175B">
              <w:rPr>
                <w:rFonts w:eastAsia="Times New Roman"/>
                <w:b/>
                <w:bCs/>
                <w:color w:val="000000"/>
                <w:sz w:val="16"/>
                <w:szCs w:val="16"/>
              </w:rPr>
              <w:t>Consistency</w:t>
            </w:r>
          </w:p>
        </w:tc>
        <w:tc>
          <w:tcPr>
            <w:tcW w:w="958" w:type="pct"/>
            <w:vMerge w:val="restar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Uniformity of the data overtime (e.g. lab data routinely entered)</w:t>
            </w:r>
          </w:p>
        </w:tc>
        <w:tc>
          <w:tcPr>
            <w:tcW w:w="1104" w:type="pc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Number of fields changed over time</w:t>
            </w:r>
          </w:p>
        </w:tc>
        <w:tc>
          <w:tcPr>
            <w:tcW w:w="1104" w:type="pc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Manual checks at centres level, audits</w:t>
            </w:r>
          </w:p>
        </w:tc>
        <w:tc>
          <w:tcPr>
            <w:tcW w:w="1115" w:type="pc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of fields missing over time</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Standard terminology, coding</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of forms reported per scheduled follow-up</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Standard operating procedures, user guides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Campaigns, dashboards for clinicians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restart"/>
            <w:vAlign w:val="center"/>
          </w:tcPr>
          <w:p w:rsidR="007F3CF5" w:rsidRPr="0029175B" w:rsidRDefault="00D64049" w:rsidP="009F1698">
            <w:pPr>
              <w:rPr>
                <w:rFonts w:eastAsia="Times New Roman"/>
                <w:b/>
                <w:bCs/>
                <w:color w:val="000000"/>
                <w:sz w:val="16"/>
                <w:szCs w:val="16"/>
              </w:rPr>
            </w:pPr>
            <w:r w:rsidRPr="0029175B">
              <w:rPr>
                <w:rFonts w:eastAsia="Times New Roman"/>
                <w:b/>
                <w:bCs/>
                <w:color w:val="000000"/>
                <w:sz w:val="16"/>
                <w:szCs w:val="16"/>
              </w:rPr>
              <w:t>Accuracy</w:t>
            </w:r>
          </w:p>
        </w:tc>
        <w:tc>
          <w:tcPr>
            <w:tcW w:w="958"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Accuracy of data entry: no errors, no contradictions or impossibilities in data, absence of duplicates</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Change in value of data filed by x% creates alerts</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Drop down menus, alerts, text prompts, flags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Feasible</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Simplify data collection to avoid redundancy</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val="restart"/>
          </w:tcPr>
          <w:p w:rsidR="007F3CF5" w:rsidRPr="0029175B" w:rsidRDefault="007F3CF5" w:rsidP="009F1698">
            <w:pPr>
              <w:rPr>
                <w:rFonts w:eastAsia="Times New Roman"/>
                <w:color w:val="000000"/>
                <w:sz w:val="16"/>
                <w:szCs w:val="16"/>
              </w:rPr>
            </w:pPr>
          </w:p>
          <w:p w:rsidR="007F3CF5" w:rsidRPr="0029175B" w:rsidRDefault="007F3CF5" w:rsidP="009F1698">
            <w:pPr>
              <w:rPr>
                <w:rFonts w:eastAsia="Times New Roman"/>
                <w:color w:val="000000"/>
                <w:sz w:val="16"/>
                <w:szCs w:val="16"/>
              </w:rPr>
            </w:pPr>
          </w:p>
          <w:p w:rsidR="007F3CF5" w:rsidRPr="0029175B" w:rsidRDefault="007F3CF5" w:rsidP="009F1698">
            <w:pPr>
              <w:rPr>
                <w:rFonts w:eastAsia="Times New Roman"/>
                <w:color w:val="000000"/>
                <w:sz w:val="16"/>
                <w:szCs w:val="16"/>
              </w:rPr>
            </w:pPr>
          </w:p>
          <w:p w:rsidR="007F3CF5" w:rsidRPr="0029175B" w:rsidRDefault="00D64049" w:rsidP="009F1698">
            <w:pPr>
              <w:rPr>
                <w:rFonts w:eastAsia="Times New Roman"/>
                <w:color w:val="000000"/>
                <w:sz w:val="16"/>
                <w:szCs w:val="16"/>
              </w:rPr>
            </w:pPr>
            <w:r w:rsidRPr="0029175B">
              <w:rPr>
                <w:rFonts w:eastAsia="Times New Roman"/>
                <w:color w:val="000000"/>
                <w:sz w:val="16"/>
                <w:szCs w:val="16"/>
              </w:rPr>
              <w:t>Variability across fields</w:t>
            </w:r>
          </w:p>
          <w:p w:rsidR="007F3CF5" w:rsidRPr="0029175B" w:rsidRDefault="00D64049" w:rsidP="009F1698">
            <w:pPr>
              <w:rPr>
                <w:rFonts w:eastAsia="Times New Roman" w:cs="Arial"/>
                <w:sz w:val="16"/>
                <w:szCs w:val="16"/>
              </w:rPr>
            </w:pPr>
            <w:r w:rsidRPr="0029175B">
              <w:rPr>
                <w:rFonts w:eastAsia="Times New Roman" w:cs="Arial"/>
                <w:sz w:val="16"/>
                <w:szCs w:val="16"/>
              </w:rPr>
              <w:t> </w:t>
            </w:r>
          </w:p>
          <w:p w:rsidR="007F3CF5" w:rsidRPr="0029175B" w:rsidRDefault="00D64049" w:rsidP="009F1698">
            <w:pPr>
              <w:rPr>
                <w:rFonts w:eastAsia="Times New Roman" w:cs="Arial"/>
                <w:sz w:val="16"/>
                <w:szCs w:val="16"/>
              </w:rPr>
            </w:pPr>
            <w:r w:rsidRPr="0029175B">
              <w:rPr>
                <w:rFonts w:eastAsia="Times New Roman" w:cs="Arial"/>
                <w:sz w:val="16"/>
                <w:szCs w:val="16"/>
              </w:rPr>
              <w:t> </w:t>
            </w:r>
          </w:p>
          <w:p w:rsidR="007F3CF5" w:rsidRPr="0029175B" w:rsidRDefault="00D64049" w:rsidP="009F1698">
            <w:pPr>
              <w:rPr>
                <w:rFonts w:eastAsia="Times New Roman"/>
                <w:color w:val="000000"/>
                <w:sz w:val="16"/>
                <w:szCs w:val="16"/>
              </w:rPr>
            </w:pPr>
            <w:r w:rsidRPr="0029175B">
              <w:rPr>
                <w:rFonts w:eastAsia="Times New Roman" w:cs="Arial"/>
                <w:sz w:val="16"/>
                <w:szCs w:val="16"/>
              </w:rPr>
              <w:t> </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Validate against source data (</w:t>
            </w:r>
            <w:r w:rsidR="00715306" w:rsidRPr="0029175B">
              <w:rPr>
                <w:rFonts w:eastAsia="Times New Roman"/>
                <w:color w:val="000000"/>
                <w:sz w:val="16"/>
                <w:szCs w:val="16"/>
              </w:rPr>
              <w:t>e.g.</w:t>
            </w:r>
            <w:r w:rsidRPr="0029175B">
              <w:rPr>
                <w:rFonts w:eastAsia="Times New Roman"/>
                <w:color w:val="000000"/>
                <w:sz w:val="16"/>
                <w:szCs w:val="16"/>
              </w:rPr>
              <w:t>, 10%), cross form validation</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 EBMT: Costly and only currently done for funded studies </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CIBMTR: Suggests ‘crucial’ elements be audited and ‘acceptable’ error rate defined (3% in CIBMTR) </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s="Arial"/>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Staff training, software checks.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s="Arial"/>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Help screens/desks, training, newsletter</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Both: Feasible </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s="Arial"/>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Funding for data managers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Requires new funding</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Necessary to motivate data collection</w:t>
            </w:r>
          </w:p>
        </w:tc>
      </w:tr>
      <w:tr w:rsidR="009A4467" w:rsidTr="009A4467">
        <w:tc>
          <w:tcPr>
            <w:tcW w:w="719" w:type="pct"/>
            <w:vMerge w:val="restart"/>
            <w:vAlign w:val="center"/>
          </w:tcPr>
          <w:p w:rsidR="007F3CF5" w:rsidRPr="0029175B" w:rsidRDefault="00D64049" w:rsidP="009F1698">
            <w:pPr>
              <w:rPr>
                <w:rFonts w:eastAsia="Times New Roman"/>
                <w:b/>
                <w:bCs/>
                <w:color w:val="000000"/>
                <w:sz w:val="16"/>
                <w:szCs w:val="16"/>
              </w:rPr>
            </w:pPr>
            <w:r w:rsidRPr="0029175B">
              <w:rPr>
                <w:rFonts w:eastAsia="Times New Roman"/>
                <w:b/>
                <w:bCs/>
                <w:color w:val="000000"/>
                <w:sz w:val="16"/>
                <w:szCs w:val="16"/>
              </w:rPr>
              <w:t>Complete-ness</w:t>
            </w:r>
          </w:p>
        </w:tc>
        <w:tc>
          <w:tcPr>
            <w:tcW w:w="958"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How much data is missing?</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Agreed % of fields completed in audit procedures (e.g. &gt;90%)</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Audits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Costly and only done for funded studies currently</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May be reported directly from the registry</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val="restart"/>
          </w:tcPr>
          <w:p w:rsidR="007F3CF5" w:rsidRPr="0029175B" w:rsidRDefault="007F3CF5" w:rsidP="009F1698">
            <w:pPr>
              <w:rPr>
                <w:rFonts w:eastAsia="Times New Roman"/>
                <w:color w:val="000000"/>
                <w:sz w:val="16"/>
                <w:szCs w:val="16"/>
              </w:rPr>
            </w:pPr>
          </w:p>
          <w:p w:rsidR="007F3CF5" w:rsidRPr="0029175B" w:rsidRDefault="007F3CF5" w:rsidP="009F1698">
            <w:pPr>
              <w:rPr>
                <w:rFonts w:eastAsia="Times New Roman"/>
                <w:color w:val="000000"/>
                <w:sz w:val="16"/>
                <w:szCs w:val="16"/>
              </w:rPr>
            </w:pPr>
          </w:p>
          <w:p w:rsidR="007F3CF5" w:rsidRPr="0029175B" w:rsidRDefault="00D64049" w:rsidP="009F1698">
            <w:pPr>
              <w:rPr>
                <w:rFonts w:eastAsia="Times New Roman"/>
                <w:color w:val="000000"/>
                <w:sz w:val="16"/>
                <w:szCs w:val="16"/>
              </w:rPr>
            </w:pPr>
            <w:r w:rsidRPr="0029175B">
              <w:rPr>
                <w:rFonts w:eastAsia="Times New Roman"/>
                <w:color w:val="000000"/>
                <w:sz w:val="16"/>
                <w:szCs w:val="16"/>
              </w:rPr>
              <w:t>Lost to follow up %</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Mandatory fields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Feasible</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Feasible for ‘crucial’ and ‘should have’ elements</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Engagement with patients and/or health care providers (HCPs)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high engagement with HCPs, less with patients</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Implementing systems to collect patient reported outcomes</w:t>
            </w:r>
          </w:p>
        </w:tc>
      </w:tr>
      <w:tr w:rsidR="009A4467" w:rsidTr="009A4467">
        <w:tc>
          <w:tcPr>
            <w:tcW w:w="719" w:type="pct"/>
            <w:vMerge/>
            <w:vAlign w:val="center"/>
          </w:tcPr>
          <w:p w:rsidR="007F3CF5" w:rsidRPr="0029175B" w:rsidRDefault="007F3CF5" w:rsidP="009F1698">
            <w:pPr>
              <w:jc w:val="center"/>
              <w:rPr>
                <w:rFonts w:eastAsia="Times New Roman"/>
                <w:b/>
                <w:bCs/>
                <w:color w:val="000000"/>
                <w:sz w:val="16"/>
                <w:szCs w:val="16"/>
              </w:rPr>
            </w:pPr>
          </w:p>
        </w:tc>
        <w:tc>
          <w:tcPr>
            <w:tcW w:w="958"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Absence of core variables</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Minimum agreed core common data elements reported</w:t>
            </w:r>
          </w:p>
        </w:tc>
        <w:tc>
          <w:tcPr>
            <w:tcW w:w="1104" w:type="pct"/>
            <w:vAlign w:val="center"/>
          </w:tcPr>
          <w:p w:rsidR="007F3CF5" w:rsidRPr="0029175B" w:rsidRDefault="00D64049" w:rsidP="009F1698">
            <w:pPr>
              <w:rPr>
                <w:rFonts w:eastAsia="Times New Roman" w:cs="Arial"/>
                <w:sz w:val="16"/>
                <w:szCs w:val="16"/>
              </w:rPr>
            </w:pPr>
            <w:r w:rsidRPr="0029175B">
              <w:rPr>
                <w:rFonts w:eastAsia="Times New Roman" w:cs="Arial"/>
                <w:sz w:val="16"/>
                <w:szCs w:val="16"/>
              </w:rPr>
              <w:t>Agreed list of data elements and definitions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Feasible</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Feasible for ‘crucial’  and ‘should have’ elements</w:t>
            </w:r>
          </w:p>
        </w:tc>
      </w:tr>
      <w:tr w:rsidR="009A4467" w:rsidTr="009A4467">
        <w:tc>
          <w:tcPr>
            <w:tcW w:w="719" w:type="pct"/>
            <w:vMerge/>
            <w:vAlign w:val="center"/>
          </w:tcPr>
          <w:p w:rsidR="007F3CF5" w:rsidRPr="0029175B" w:rsidRDefault="007F3CF5" w:rsidP="009F1698">
            <w:pPr>
              <w:jc w:val="cente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i/>
                <w:iCs/>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All treated patients reported, not selected patients only</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Cross check patient numbers with numbers of products used at treating centres during a defined period </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 if there is access to orders/product supply information</w:t>
            </w:r>
          </w:p>
          <w:p w:rsidR="007F3CF5" w:rsidRPr="0029175B" w:rsidRDefault="007F3CF5" w:rsidP="009F1698">
            <w:pPr>
              <w:rPr>
                <w:rFonts w:eastAsia="Times New Roman"/>
                <w:color w:val="000000"/>
                <w:sz w:val="16"/>
                <w:szCs w:val="16"/>
              </w:rPr>
            </w:pPr>
          </w:p>
        </w:tc>
      </w:tr>
    </w:tbl>
    <w:p w:rsidR="00CA7889" w:rsidRDefault="00CA7889" w:rsidP="00B343A7">
      <w:pPr>
        <w:pStyle w:val="Default"/>
        <w:jc w:val="center"/>
        <w:rPr>
          <w:rStyle w:val="Fett"/>
          <w:b w:val="0"/>
          <w:color w:val="auto"/>
          <w:sz w:val="18"/>
          <w:szCs w:val="18"/>
          <w:lang w:val="en-GB"/>
        </w:rPr>
      </w:pPr>
    </w:p>
    <w:p w:rsidR="00CA7889" w:rsidRDefault="00D64049">
      <w:pPr>
        <w:rPr>
          <w:rStyle w:val="Fett"/>
          <w:rFonts w:eastAsia="Calibri" w:cs="Verdana"/>
          <w:b w:val="0"/>
          <w:lang w:eastAsia="en-US"/>
        </w:rPr>
      </w:pPr>
      <w:r>
        <w:rPr>
          <w:rStyle w:val="Fett"/>
          <w:b w:val="0"/>
        </w:rPr>
        <w:br w:type="page"/>
      </w:r>
    </w:p>
    <w:p w:rsidR="00AD4CBC" w:rsidRPr="008B040E" w:rsidRDefault="00D64049" w:rsidP="008B040E">
      <w:pPr>
        <w:pStyle w:val="Heading2Agency"/>
        <w:rPr>
          <w:rStyle w:val="Fett"/>
          <w:b/>
          <w:bCs/>
        </w:rPr>
      </w:pPr>
      <w:r w:rsidRPr="008B040E">
        <w:rPr>
          <w:rStyle w:val="Fett"/>
          <w:b/>
          <w:bCs/>
        </w:rPr>
        <w:lastRenderedPageBreak/>
        <w:t xml:space="preserve"> </w:t>
      </w:r>
      <w:bookmarkStart w:id="96" w:name="_Toc528934938"/>
      <w:r w:rsidRPr="008B040E">
        <w:rPr>
          <w:rStyle w:val="Fett"/>
          <w:b/>
          <w:bCs/>
        </w:rPr>
        <w:t>Safety analysis</w:t>
      </w:r>
      <w:bookmarkEnd w:id="96"/>
    </w:p>
    <w:p w:rsidR="00A31675" w:rsidRPr="008B040E" w:rsidRDefault="00D64049" w:rsidP="008B040E">
      <w:pPr>
        <w:pStyle w:val="Heading3Agency"/>
        <w:rPr>
          <w:rStyle w:val="Fett"/>
          <w:b/>
          <w:bCs/>
        </w:rPr>
      </w:pPr>
      <w:bookmarkStart w:id="97" w:name="_Toc528934939"/>
      <w:r w:rsidRPr="008B040E">
        <w:rPr>
          <w:rStyle w:val="Fett"/>
          <w:b/>
          <w:bCs/>
        </w:rPr>
        <w:t>Reporting of s</w:t>
      </w:r>
      <w:r w:rsidR="000C5A69" w:rsidRPr="008B040E">
        <w:rPr>
          <w:rStyle w:val="Fett"/>
          <w:b/>
          <w:bCs/>
        </w:rPr>
        <w:t>afety information</w:t>
      </w:r>
      <w:bookmarkEnd w:id="97"/>
      <w:r w:rsidR="005C454D" w:rsidRPr="008B040E">
        <w:rPr>
          <w:rStyle w:val="Fett"/>
          <w:b/>
          <w:bCs/>
        </w:rPr>
        <w:t xml:space="preserve"> </w:t>
      </w:r>
    </w:p>
    <w:p w:rsidR="00A53E91" w:rsidRDefault="00D64049" w:rsidP="006E7959">
      <w:pPr>
        <w:pStyle w:val="Default"/>
        <w:spacing w:after="140" w:line="280" w:lineRule="exact"/>
        <w:rPr>
          <w:rStyle w:val="Fett"/>
          <w:rFonts w:eastAsia="SimSun"/>
          <w:b w:val="0"/>
          <w:sz w:val="18"/>
          <w:szCs w:val="18"/>
          <w:lang w:eastAsia="en-GB"/>
        </w:rPr>
      </w:pPr>
      <w:r>
        <w:rPr>
          <w:rStyle w:val="Fett"/>
          <w:b w:val="0"/>
          <w:color w:val="auto"/>
          <w:sz w:val="18"/>
          <w:szCs w:val="18"/>
          <w:lang w:val="en-GB"/>
        </w:rPr>
        <w:t>Disease</w:t>
      </w:r>
      <w:r w:rsidRPr="004A5234">
        <w:rPr>
          <w:rStyle w:val="Fett"/>
          <w:b w:val="0"/>
          <w:color w:val="auto"/>
          <w:sz w:val="18"/>
          <w:szCs w:val="18"/>
          <w:lang w:val="en-GB"/>
        </w:rPr>
        <w:t xml:space="preserve"> registries conducted by organisations such as academia or medical research </w:t>
      </w:r>
      <w:r w:rsidR="009811F1">
        <w:rPr>
          <w:rStyle w:val="Fett"/>
          <w:b w:val="0"/>
          <w:color w:val="auto"/>
          <w:sz w:val="18"/>
          <w:szCs w:val="18"/>
          <w:lang w:val="en-GB"/>
        </w:rPr>
        <w:t>associations</w:t>
      </w:r>
      <w:r w:rsidRPr="004A5234">
        <w:rPr>
          <w:rStyle w:val="Fett"/>
          <w:b w:val="0"/>
          <w:color w:val="auto"/>
          <w:sz w:val="18"/>
          <w:szCs w:val="18"/>
          <w:lang w:val="en-GB"/>
        </w:rPr>
        <w:t xml:space="preserve"> should follow the </w:t>
      </w:r>
      <w:r>
        <w:rPr>
          <w:rStyle w:val="Fett"/>
          <w:b w:val="0"/>
          <w:color w:val="auto"/>
          <w:sz w:val="18"/>
          <w:szCs w:val="18"/>
          <w:lang w:val="en-GB"/>
        </w:rPr>
        <w:t>n</w:t>
      </w:r>
      <w:r w:rsidRPr="004A5234">
        <w:rPr>
          <w:rStyle w:val="Fett"/>
          <w:b w:val="0"/>
          <w:color w:val="auto"/>
          <w:sz w:val="18"/>
          <w:szCs w:val="18"/>
          <w:lang w:val="en-GB"/>
        </w:rPr>
        <w:t xml:space="preserve">ational requirements </w:t>
      </w:r>
      <w:r w:rsidR="00131214">
        <w:rPr>
          <w:rStyle w:val="Fett"/>
          <w:b w:val="0"/>
          <w:color w:val="auto"/>
          <w:sz w:val="18"/>
          <w:szCs w:val="18"/>
          <w:lang w:val="en-GB"/>
        </w:rPr>
        <w:t>for</w:t>
      </w:r>
      <w:r w:rsidRPr="004A5234">
        <w:rPr>
          <w:rStyle w:val="Fett"/>
          <w:b w:val="0"/>
          <w:color w:val="auto"/>
          <w:sz w:val="18"/>
          <w:szCs w:val="18"/>
          <w:lang w:val="en-GB"/>
        </w:rPr>
        <w:t xml:space="preserve"> the management of safety data. </w:t>
      </w:r>
      <w:r w:rsidR="00DF573A" w:rsidRPr="00DF573A">
        <w:rPr>
          <w:rStyle w:val="Fett"/>
          <w:b w:val="0"/>
          <w:color w:val="auto"/>
          <w:sz w:val="18"/>
          <w:szCs w:val="18"/>
          <w:lang w:val="en-GB"/>
        </w:rPr>
        <w:t xml:space="preserve">Reporting of </w:t>
      </w:r>
      <w:r w:rsidR="00DF573A">
        <w:rPr>
          <w:rStyle w:val="Fett"/>
          <w:b w:val="0"/>
          <w:color w:val="auto"/>
          <w:sz w:val="18"/>
          <w:szCs w:val="18"/>
          <w:lang w:val="en-GB"/>
        </w:rPr>
        <w:t xml:space="preserve">suspected adverse reactions </w:t>
      </w:r>
      <w:r>
        <w:rPr>
          <w:rStyle w:val="Fett"/>
          <w:b w:val="0"/>
          <w:color w:val="auto"/>
          <w:sz w:val="18"/>
          <w:szCs w:val="18"/>
          <w:lang w:val="en-GB"/>
        </w:rPr>
        <w:t>t</w:t>
      </w:r>
      <w:r w:rsidR="000A5E57">
        <w:rPr>
          <w:rStyle w:val="Fett"/>
          <w:b w:val="0"/>
          <w:color w:val="auto"/>
          <w:sz w:val="18"/>
          <w:szCs w:val="18"/>
          <w:lang w:val="en-GB"/>
        </w:rPr>
        <w:t>o</w:t>
      </w:r>
      <w:r>
        <w:rPr>
          <w:rStyle w:val="Fett"/>
          <w:b w:val="0"/>
          <w:color w:val="auto"/>
          <w:sz w:val="18"/>
          <w:szCs w:val="18"/>
          <w:lang w:val="en-GB"/>
        </w:rPr>
        <w:t xml:space="preserve"> the national or regional pharmacovigilance system c</w:t>
      </w:r>
      <w:r w:rsidR="00DF573A" w:rsidRPr="00DF573A">
        <w:rPr>
          <w:rStyle w:val="Fett"/>
          <w:b w:val="0"/>
          <w:color w:val="auto"/>
          <w:sz w:val="18"/>
          <w:szCs w:val="18"/>
          <w:lang w:val="en-GB"/>
        </w:rPr>
        <w:t xml:space="preserve">ould be facilitated by integrating an electronic reporting module in the registry software or by giving access to </w:t>
      </w:r>
      <w:r w:rsidR="000C7549">
        <w:rPr>
          <w:rStyle w:val="Fett"/>
          <w:b w:val="0"/>
          <w:color w:val="auto"/>
          <w:sz w:val="18"/>
          <w:szCs w:val="18"/>
          <w:lang w:val="en-GB"/>
        </w:rPr>
        <w:t>an</w:t>
      </w:r>
      <w:r w:rsidR="00DF573A" w:rsidRPr="00DF573A">
        <w:rPr>
          <w:rStyle w:val="Fett"/>
          <w:b w:val="0"/>
          <w:color w:val="auto"/>
          <w:sz w:val="18"/>
          <w:szCs w:val="18"/>
          <w:lang w:val="en-GB"/>
        </w:rPr>
        <w:t xml:space="preserve"> electronic reporting module put in place by the NCA. The fact that </w:t>
      </w:r>
      <w:r w:rsidR="00696320">
        <w:rPr>
          <w:rStyle w:val="Fett"/>
          <w:b w:val="0"/>
          <w:color w:val="auto"/>
          <w:sz w:val="18"/>
          <w:szCs w:val="18"/>
          <w:lang w:val="en-GB"/>
        </w:rPr>
        <w:t>the information was</w:t>
      </w:r>
      <w:r w:rsidR="00DF573A" w:rsidRPr="00DF573A">
        <w:rPr>
          <w:rStyle w:val="Fett"/>
          <w:b w:val="0"/>
          <w:color w:val="auto"/>
          <w:sz w:val="18"/>
          <w:szCs w:val="18"/>
          <w:lang w:val="en-GB"/>
        </w:rPr>
        <w:t xml:space="preserve"> generated from a disease registry could be included in the case description.</w:t>
      </w:r>
    </w:p>
    <w:p w:rsidR="00131214" w:rsidRDefault="00D64049" w:rsidP="006E7959">
      <w:pPr>
        <w:spacing w:after="140" w:line="280" w:lineRule="exact"/>
        <w:rPr>
          <w:rStyle w:val="Fett"/>
          <w:b w:val="0"/>
        </w:rPr>
      </w:pPr>
      <w:r>
        <w:rPr>
          <w:rStyle w:val="Fett"/>
          <w:b w:val="0"/>
        </w:rPr>
        <w:t>Any</w:t>
      </w:r>
      <w:r w:rsidR="004A5234" w:rsidRPr="004A5234">
        <w:rPr>
          <w:rStyle w:val="Fett"/>
          <w:b w:val="0"/>
        </w:rPr>
        <w:t xml:space="preserve"> </w:t>
      </w:r>
      <w:r w:rsidR="009A01F2">
        <w:rPr>
          <w:rStyle w:val="Fett"/>
          <w:b w:val="0"/>
        </w:rPr>
        <w:t xml:space="preserve">active </w:t>
      </w:r>
      <w:r w:rsidR="004A5234" w:rsidRPr="004A5234">
        <w:rPr>
          <w:rStyle w:val="Fett"/>
          <w:b w:val="0"/>
        </w:rPr>
        <w:t>data collection system put in place in a disease registry</w:t>
      </w:r>
      <w:r w:rsidR="005C454D">
        <w:rPr>
          <w:rStyle w:val="Fett"/>
          <w:b w:val="0"/>
        </w:rPr>
        <w:t xml:space="preserve"> and </w:t>
      </w:r>
      <w:r w:rsidR="00C32325">
        <w:rPr>
          <w:rStyle w:val="Fett"/>
          <w:b w:val="0"/>
        </w:rPr>
        <w:t>initiated, managed or</w:t>
      </w:r>
      <w:r w:rsidR="005C454D" w:rsidRPr="005C454D">
        <w:rPr>
          <w:rStyle w:val="Fett"/>
          <w:b w:val="0"/>
        </w:rPr>
        <w:t xml:space="preserve"> funded </w:t>
      </w:r>
      <w:r w:rsidR="005C454D">
        <w:rPr>
          <w:rStyle w:val="Fett"/>
          <w:b w:val="0"/>
        </w:rPr>
        <w:t xml:space="preserve">by a MAH </w:t>
      </w:r>
      <w:r w:rsidR="000A5E57">
        <w:rPr>
          <w:rStyle w:val="Fett"/>
          <w:b w:val="0"/>
        </w:rPr>
        <w:t xml:space="preserve">with the objective </w:t>
      </w:r>
      <w:r w:rsidR="004A5234" w:rsidRPr="004A5234">
        <w:rPr>
          <w:rStyle w:val="Fett"/>
          <w:b w:val="0"/>
        </w:rPr>
        <w:t xml:space="preserve">to collect and record suspected adverse reactions </w:t>
      </w:r>
      <w:r w:rsidR="00C32325">
        <w:rPr>
          <w:rStyle w:val="Fett"/>
          <w:b w:val="0"/>
        </w:rPr>
        <w:t xml:space="preserve">to one of its medicinal products </w:t>
      </w:r>
      <w:r w:rsidR="004A5234" w:rsidRPr="004A5234">
        <w:rPr>
          <w:rStyle w:val="Fett"/>
          <w:b w:val="0"/>
        </w:rPr>
        <w:t xml:space="preserve">must follow the regulatory framework for PASS </w:t>
      </w:r>
      <w:r w:rsidR="005E2E45">
        <w:rPr>
          <w:rStyle w:val="Fett"/>
          <w:b w:val="0"/>
        </w:rPr>
        <w:fldChar w:fldCharType="begin"/>
      </w:r>
      <w:r w:rsidR="005E2E45">
        <w:rPr>
          <w:rStyle w:val="Fett"/>
          <w:b w:val="0"/>
        </w:rPr>
        <w:instrText xml:space="preserve"> ADDIN ZOTERO_ITEM CSL_CITATION {"citationID":"at74jrf0qi","properties":{"formattedCitation":"(20)","plainCitation":"(20)"},"citationItems":[{"id":2271,"uris":["http://zotero.org/users/local/tAKp4fcl/items/2L6EDWCG"],"uri":["http://zotero.org/users/local/tAKp4fcl/items/2L6EDWCG"],"itemData":{"id":2271,"type":"article","title":"Guideline on good pharmacovigilance practices (GVP) Module VIII – Post-authorisation safety studies (Rev 3). EMA/813938/2011 Rev 3*","URL":"http://www.ema.europa.eu/docs/en_GB/document_library/Scientific_guideline/2012/06/WC500129137.pdf","author":[{"literal":"European Medicines Agency (EMA)"}],"issued":{"date-parts":[["2017",10,9]]}}}],"schema":"https://github.com/citation-style-language/schema/raw/master/csl-citation.json"} </w:instrText>
      </w:r>
      <w:r w:rsidR="005E2E45">
        <w:rPr>
          <w:rStyle w:val="Fett"/>
          <w:b w:val="0"/>
        </w:rPr>
        <w:fldChar w:fldCharType="separate"/>
      </w:r>
      <w:r w:rsidR="005E2E45" w:rsidRPr="005E2E45">
        <w:t>(20)</w:t>
      </w:r>
      <w:r w:rsidR="005E2E45">
        <w:rPr>
          <w:rStyle w:val="Fett"/>
          <w:b w:val="0"/>
        </w:rPr>
        <w:fldChar w:fldCharType="end"/>
      </w:r>
      <w:r w:rsidR="00D63398">
        <w:rPr>
          <w:rStyle w:val="Fett"/>
          <w:b w:val="0"/>
        </w:rPr>
        <w:t xml:space="preserve"> </w:t>
      </w:r>
      <w:r w:rsidR="00D63398" w:rsidRPr="00D63398">
        <w:rPr>
          <w:rStyle w:val="Fett"/>
          <w:b w:val="0"/>
        </w:rPr>
        <w:fldChar w:fldCharType="begin"/>
      </w:r>
      <w:r w:rsidR="00D63398" w:rsidRPr="00D63398">
        <w:rPr>
          <w:rStyle w:val="Fett"/>
          <w:b w:val="0"/>
        </w:rPr>
        <w:instrText xml:space="preserve"> ADDIN ZOTERO_ITEM CSL_CITATION {"citationID":"a1ff0ssb5ct","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D63398" w:rsidRPr="00D63398">
        <w:rPr>
          <w:rStyle w:val="Fett"/>
          <w:b w:val="0"/>
        </w:rPr>
        <w:fldChar w:fldCharType="separate"/>
      </w:r>
      <w:r w:rsidR="00D63398" w:rsidRPr="00D63398">
        <w:t>(21)</w:t>
      </w:r>
      <w:r w:rsidR="00D63398" w:rsidRPr="00D63398">
        <w:rPr>
          <w:rStyle w:val="Fett"/>
          <w:b w:val="0"/>
        </w:rPr>
        <w:fldChar w:fldCharType="end"/>
      </w:r>
      <w:r w:rsidR="003D03B0">
        <w:rPr>
          <w:rStyle w:val="Fett"/>
          <w:b w:val="0"/>
        </w:rPr>
        <w:t xml:space="preserve"> (see chapter 6.8)</w:t>
      </w:r>
      <w:r w:rsidR="004A5234" w:rsidRPr="00D63398">
        <w:rPr>
          <w:rStyle w:val="Fett"/>
          <w:b w:val="0"/>
        </w:rPr>
        <w:t xml:space="preserve">. </w:t>
      </w:r>
      <w:r w:rsidR="000A5E57" w:rsidRPr="00D63398">
        <w:rPr>
          <w:rStyle w:val="Fett"/>
          <w:b w:val="0"/>
        </w:rPr>
        <w:t>In</w:t>
      </w:r>
      <w:r w:rsidR="000A5E57">
        <w:rPr>
          <w:rStyle w:val="Fett"/>
          <w:b w:val="0"/>
        </w:rPr>
        <w:t xml:space="preserve"> this situation, c</w:t>
      </w:r>
      <w:r w:rsidR="001773FB" w:rsidRPr="001773FB">
        <w:rPr>
          <w:rStyle w:val="Fett"/>
          <w:b w:val="0"/>
        </w:rPr>
        <w:t xml:space="preserve">ollected adverse events should be </w:t>
      </w:r>
      <w:r w:rsidR="00C32325">
        <w:rPr>
          <w:rStyle w:val="Fett"/>
          <w:b w:val="0"/>
        </w:rPr>
        <w:t>m</w:t>
      </w:r>
      <w:r w:rsidR="001773FB" w:rsidRPr="001773FB">
        <w:rPr>
          <w:rStyle w:val="Fett"/>
          <w:b w:val="0"/>
        </w:rPr>
        <w:t xml:space="preserve">anaged by the MAH as </w:t>
      </w:r>
      <w:r w:rsidR="001773FB" w:rsidRPr="006E7959">
        <w:rPr>
          <w:rStyle w:val="Fett"/>
          <w:rFonts w:cs="Verdana"/>
          <w:b w:val="0"/>
          <w:i/>
        </w:rPr>
        <w:t>solicited reports</w:t>
      </w:r>
      <w:r>
        <w:rPr>
          <w:rStyle w:val="Fett"/>
          <w:b w:val="0"/>
          <w:i/>
        </w:rPr>
        <w:t xml:space="preserve"> </w:t>
      </w:r>
      <w:r w:rsidRPr="006A361A">
        <w:rPr>
          <w:rStyle w:val="Fett"/>
          <w:b w:val="0"/>
        </w:rPr>
        <w:t>and</w:t>
      </w:r>
      <w:r>
        <w:rPr>
          <w:rStyle w:val="Fett"/>
          <w:b w:val="0"/>
          <w:i/>
        </w:rPr>
        <w:t xml:space="preserve"> </w:t>
      </w:r>
      <w:r>
        <w:rPr>
          <w:rStyle w:val="Fett"/>
          <w:b w:val="0"/>
        </w:rPr>
        <w:t>t</w:t>
      </w:r>
      <w:r w:rsidR="0032715E">
        <w:rPr>
          <w:rStyle w:val="Fett"/>
          <w:b w:val="0"/>
        </w:rPr>
        <w:t xml:space="preserve">he </w:t>
      </w:r>
      <w:r w:rsidR="001773FB" w:rsidRPr="001773FB">
        <w:rPr>
          <w:rStyle w:val="Fett"/>
          <w:b w:val="0"/>
        </w:rPr>
        <w:t xml:space="preserve">mechanisms implemented to record, document and evaluate case information in order to allow the submission of valid ICSRs to EudraVigilance should be described in </w:t>
      </w:r>
      <w:r w:rsidR="001773FB">
        <w:rPr>
          <w:rStyle w:val="Fett"/>
          <w:b w:val="0"/>
        </w:rPr>
        <w:t>a</w:t>
      </w:r>
      <w:r w:rsidR="001773FB" w:rsidRPr="001773FB">
        <w:rPr>
          <w:rStyle w:val="Fett"/>
          <w:b w:val="0"/>
        </w:rPr>
        <w:t xml:space="preserve"> protocol</w:t>
      </w:r>
      <w:r w:rsidR="001773FB">
        <w:rPr>
          <w:rStyle w:val="Fett"/>
          <w:b w:val="0"/>
        </w:rPr>
        <w:t>.</w:t>
      </w:r>
      <w:r w:rsidR="00813E55">
        <w:rPr>
          <w:rStyle w:val="Fett"/>
          <w:b w:val="0"/>
        </w:rPr>
        <w:t xml:space="preserve"> </w:t>
      </w:r>
      <w:r w:rsidR="00813E55" w:rsidRPr="006E7959">
        <w:rPr>
          <w:iCs/>
        </w:rPr>
        <w:t xml:space="preserve">Relevant safety information should be summarised in the </w:t>
      </w:r>
      <w:r w:rsidR="006230C4">
        <w:rPr>
          <w:iCs/>
        </w:rPr>
        <w:t>p</w:t>
      </w:r>
      <w:r w:rsidR="00813E55" w:rsidRPr="006E7959">
        <w:rPr>
          <w:iCs/>
        </w:rPr>
        <w:t xml:space="preserve">roduct </w:t>
      </w:r>
      <w:r w:rsidR="006230C4">
        <w:rPr>
          <w:iCs/>
        </w:rPr>
        <w:t>P</w:t>
      </w:r>
      <w:r w:rsidR="00813E55" w:rsidRPr="006E7959">
        <w:rPr>
          <w:iCs/>
        </w:rPr>
        <w:t xml:space="preserve">eriodic </w:t>
      </w:r>
      <w:r w:rsidR="006230C4">
        <w:rPr>
          <w:iCs/>
        </w:rPr>
        <w:t>S</w:t>
      </w:r>
      <w:r w:rsidR="00813E55" w:rsidRPr="006E7959">
        <w:rPr>
          <w:iCs/>
        </w:rPr>
        <w:t xml:space="preserve">afety </w:t>
      </w:r>
      <w:r w:rsidR="006230C4">
        <w:rPr>
          <w:iCs/>
        </w:rPr>
        <w:t>U</w:t>
      </w:r>
      <w:r w:rsidR="00813E55" w:rsidRPr="006E7959">
        <w:rPr>
          <w:iCs/>
        </w:rPr>
        <w:t xml:space="preserve">pdate </w:t>
      </w:r>
      <w:r w:rsidR="006230C4">
        <w:rPr>
          <w:iCs/>
        </w:rPr>
        <w:t>R</w:t>
      </w:r>
      <w:r w:rsidR="00813E55" w:rsidRPr="006E7959">
        <w:rPr>
          <w:iCs/>
        </w:rPr>
        <w:t xml:space="preserve">eport </w:t>
      </w:r>
      <w:r w:rsidR="006230C4">
        <w:rPr>
          <w:iCs/>
        </w:rPr>
        <w:t xml:space="preserve">(PSUR) </w:t>
      </w:r>
      <w:r w:rsidR="00813E55" w:rsidRPr="006E7959">
        <w:rPr>
          <w:iCs/>
        </w:rPr>
        <w:t>by the MAH and in the registry reports.</w:t>
      </w:r>
      <w:r w:rsidR="00813E55">
        <w:rPr>
          <w:iCs/>
        </w:rPr>
        <w:t xml:space="preserve"> </w:t>
      </w:r>
      <w:r>
        <w:rPr>
          <w:rStyle w:val="Fett"/>
          <w:b w:val="0"/>
        </w:rPr>
        <w:t>C</w:t>
      </w:r>
      <w:r w:rsidR="0032715E" w:rsidRPr="0032715E">
        <w:rPr>
          <w:rStyle w:val="Fett"/>
          <w:b w:val="0"/>
        </w:rPr>
        <w:t>ontractual agreements should be in place to clearly define the role and responsibilities of each party</w:t>
      </w:r>
      <w:r w:rsidR="0032715E">
        <w:rPr>
          <w:rStyle w:val="Fett"/>
          <w:b w:val="0"/>
        </w:rPr>
        <w:t xml:space="preserve">. </w:t>
      </w:r>
    </w:p>
    <w:p w:rsidR="00E34DC2" w:rsidRPr="006E7959" w:rsidRDefault="00D64049" w:rsidP="006E7959">
      <w:pPr>
        <w:spacing w:after="140" w:line="280" w:lineRule="exact"/>
        <w:rPr>
          <w:rFonts w:cs="Verdana"/>
          <w:bCs/>
          <w:color w:val="000000"/>
          <w:lang w:val="en-US"/>
        </w:rPr>
      </w:pPr>
      <w:r w:rsidRPr="006E7959">
        <w:rPr>
          <w:rFonts w:cs="Verdana"/>
          <w:color w:val="000000"/>
          <w:lang w:val="en-US"/>
        </w:rPr>
        <w:t>In registries with</w:t>
      </w:r>
      <w:r w:rsidR="00273929">
        <w:t>out</w:t>
      </w:r>
      <w:r w:rsidRPr="006E7959">
        <w:rPr>
          <w:rFonts w:cs="Verdana"/>
          <w:color w:val="000000"/>
          <w:lang w:val="en-US"/>
        </w:rPr>
        <w:t xml:space="preserve"> active safety data collection, </w:t>
      </w:r>
      <w:r w:rsidR="006230C4">
        <w:rPr>
          <w:rFonts w:cs="Verdana"/>
          <w:color w:val="000000"/>
          <w:lang w:val="en-US"/>
        </w:rPr>
        <w:t>HCPs</w:t>
      </w:r>
      <w:r w:rsidR="00813E55" w:rsidRPr="00813E55">
        <w:rPr>
          <w:rFonts w:cs="Verdana"/>
          <w:color w:val="000000"/>
          <w:lang w:val="en-US"/>
        </w:rPr>
        <w:t xml:space="preserve"> and patients should be reminded of the possibility to report adverse reactions (for which they suspect a causal role of a medicine) to the </w:t>
      </w:r>
      <w:r w:rsidR="00813E55">
        <w:rPr>
          <w:rFonts w:cs="Verdana"/>
          <w:color w:val="000000"/>
          <w:lang w:val="en-US"/>
        </w:rPr>
        <w:t>MAH</w:t>
      </w:r>
      <w:r w:rsidR="00813E55" w:rsidRPr="00813E55">
        <w:rPr>
          <w:rFonts w:cs="Verdana"/>
          <w:color w:val="000000"/>
          <w:lang w:val="en-US"/>
        </w:rPr>
        <w:t xml:space="preserve"> of the suspected medicinal product or to the concerned competent authority via the national spontaneous reporting syste</w:t>
      </w:r>
      <w:r w:rsidR="00813E55">
        <w:rPr>
          <w:rFonts w:cs="Verdana"/>
          <w:color w:val="000000"/>
          <w:lang w:val="en-US"/>
        </w:rPr>
        <w:t>m. A</w:t>
      </w:r>
      <w:r w:rsidRPr="006E7959">
        <w:rPr>
          <w:rFonts w:cs="Verdana"/>
          <w:color w:val="000000"/>
          <w:lang w:val="en-US"/>
        </w:rPr>
        <w:t xml:space="preserve">ny </w:t>
      </w:r>
      <w:r w:rsidR="00813E55">
        <w:rPr>
          <w:rFonts w:cs="Verdana"/>
          <w:color w:val="000000"/>
          <w:lang w:val="en-US"/>
        </w:rPr>
        <w:t xml:space="preserve">suspected adverse reaction </w:t>
      </w:r>
      <w:r w:rsidR="00C32325">
        <w:t xml:space="preserve">notified to </w:t>
      </w:r>
      <w:r w:rsidR="00696320">
        <w:t>the</w:t>
      </w:r>
      <w:r w:rsidR="00C32325">
        <w:t xml:space="preserve"> MAH </w:t>
      </w:r>
      <w:r w:rsidRPr="006E7959">
        <w:rPr>
          <w:rFonts w:cs="Verdana"/>
          <w:color w:val="000000"/>
          <w:lang w:val="en-US"/>
        </w:rPr>
        <w:t xml:space="preserve">should be managed </w:t>
      </w:r>
      <w:r w:rsidR="009A01F2">
        <w:t>by</w:t>
      </w:r>
      <w:r w:rsidR="00696320">
        <w:t xml:space="preserve"> the</w:t>
      </w:r>
      <w:r w:rsidR="009A01F2">
        <w:t xml:space="preserve"> MAH </w:t>
      </w:r>
      <w:r w:rsidRPr="006E7959">
        <w:rPr>
          <w:rFonts w:cs="Verdana"/>
          <w:color w:val="000000"/>
          <w:lang w:val="en-US"/>
        </w:rPr>
        <w:t xml:space="preserve">as </w:t>
      </w:r>
      <w:r w:rsidR="006230C4">
        <w:rPr>
          <w:rFonts w:cs="Verdana"/>
          <w:color w:val="000000"/>
          <w:lang w:val="en-US"/>
        </w:rPr>
        <w:t xml:space="preserve">a </w:t>
      </w:r>
      <w:r w:rsidRPr="006E7959">
        <w:rPr>
          <w:rFonts w:cs="Verdana"/>
          <w:i/>
          <w:color w:val="000000"/>
          <w:lang w:val="en-US"/>
        </w:rPr>
        <w:t>spontaneous report</w:t>
      </w:r>
      <w:r w:rsidR="00D63398">
        <w:rPr>
          <w:rFonts w:cs="Verdana"/>
          <w:color w:val="000000"/>
          <w:lang w:val="en-US"/>
        </w:rPr>
        <w:t xml:space="preserve"> </w:t>
      </w:r>
      <w:r w:rsidR="00D63398">
        <w:rPr>
          <w:rFonts w:cs="Verdana"/>
          <w:color w:val="000000"/>
          <w:lang w:val="en-US"/>
        </w:rPr>
        <w:fldChar w:fldCharType="begin"/>
      </w:r>
      <w:r w:rsidR="00D63398">
        <w:rPr>
          <w:rFonts w:cs="Verdana"/>
          <w:color w:val="000000"/>
          <w:lang w:val="en-US"/>
        </w:rPr>
        <w:instrText xml:space="preserve"> ADDIN ZOTERO_ITEM CSL_CITATION {"citationID":"adu5q029d3","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D63398">
        <w:rPr>
          <w:rFonts w:cs="Verdana"/>
          <w:color w:val="000000"/>
          <w:lang w:val="en-US"/>
        </w:rPr>
        <w:fldChar w:fldCharType="separate"/>
      </w:r>
      <w:r w:rsidR="00D63398" w:rsidRPr="00D63398">
        <w:t>(21)</w:t>
      </w:r>
      <w:r w:rsidR="00D63398">
        <w:rPr>
          <w:rFonts w:cs="Verdana"/>
          <w:color w:val="000000"/>
          <w:lang w:val="en-US"/>
        </w:rPr>
        <w:fldChar w:fldCharType="end"/>
      </w:r>
      <w:r w:rsidRPr="006E7959">
        <w:rPr>
          <w:rFonts w:cs="Verdana"/>
          <w:color w:val="000000"/>
          <w:lang w:val="en-US"/>
        </w:rPr>
        <w:t>.</w:t>
      </w:r>
    </w:p>
    <w:p w:rsidR="000A4922" w:rsidRPr="008B040E" w:rsidRDefault="00D64049" w:rsidP="008B040E">
      <w:pPr>
        <w:pStyle w:val="Heading3Agency"/>
        <w:rPr>
          <w:rStyle w:val="Fett"/>
          <w:b/>
          <w:bCs/>
        </w:rPr>
      </w:pPr>
      <w:bookmarkStart w:id="98" w:name="_Toc528934940"/>
      <w:r w:rsidRPr="008B040E">
        <w:rPr>
          <w:rStyle w:val="Fett"/>
          <w:b/>
          <w:bCs/>
        </w:rPr>
        <w:t>Monitoring of adverse events of special interests</w:t>
      </w:r>
      <w:bookmarkEnd w:id="98"/>
    </w:p>
    <w:p w:rsidR="00194B01" w:rsidRPr="00194B01" w:rsidRDefault="00D64049" w:rsidP="00194B01">
      <w:pPr>
        <w:pStyle w:val="Default"/>
        <w:spacing w:after="140" w:line="280" w:lineRule="exact"/>
        <w:rPr>
          <w:rStyle w:val="Fett"/>
          <w:b w:val="0"/>
          <w:color w:val="auto"/>
          <w:sz w:val="18"/>
          <w:szCs w:val="18"/>
          <w:lang w:val="en-GB"/>
        </w:rPr>
      </w:pPr>
      <w:r>
        <w:rPr>
          <w:rStyle w:val="Fett"/>
          <w:b w:val="0"/>
          <w:color w:val="auto"/>
          <w:sz w:val="18"/>
          <w:szCs w:val="18"/>
          <w:lang w:val="en-GB"/>
        </w:rPr>
        <w:t>I</w:t>
      </w:r>
      <w:r w:rsidRPr="00194B01">
        <w:rPr>
          <w:rStyle w:val="Fett"/>
          <w:b w:val="0"/>
          <w:color w:val="auto"/>
          <w:sz w:val="18"/>
          <w:szCs w:val="18"/>
          <w:lang w:val="en-GB"/>
        </w:rPr>
        <w:t>n disease registries</w:t>
      </w:r>
      <w:r>
        <w:rPr>
          <w:rStyle w:val="Fett"/>
          <w:b w:val="0"/>
          <w:color w:val="auto"/>
          <w:sz w:val="18"/>
          <w:szCs w:val="18"/>
          <w:lang w:val="en-GB"/>
        </w:rPr>
        <w:t>,</w:t>
      </w:r>
      <w:r w:rsidRPr="00194B01">
        <w:rPr>
          <w:rStyle w:val="Fett"/>
          <w:b w:val="0"/>
          <w:color w:val="auto"/>
          <w:sz w:val="18"/>
          <w:szCs w:val="18"/>
          <w:lang w:val="en-GB"/>
        </w:rPr>
        <w:t xml:space="preserve"> data </w:t>
      </w:r>
      <w:r>
        <w:rPr>
          <w:rStyle w:val="Fett"/>
          <w:b w:val="0"/>
          <w:color w:val="auto"/>
          <w:sz w:val="18"/>
          <w:szCs w:val="18"/>
          <w:lang w:val="en-GB"/>
        </w:rPr>
        <w:t xml:space="preserve">on medical events </w:t>
      </w:r>
      <w:r w:rsidRPr="00194B01">
        <w:rPr>
          <w:rStyle w:val="Fett"/>
          <w:b w:val="0"/>
          <w:color w:val="auto"/>
          <w:sz w:val="18"/>
          <w:szCs w:val="18"/>
          <w:lang w:val="en-GB"/>
        </w:rPr>
        <w:t xml:space="preserve">are </w:t>
      </w:r>
      <w:r>
        <w:rPr>
          <w:rStyle w:val="Fett"/>
          <w:b w:val="0"/>
          <w:color w:val="auto"/>
          <w:sz w:val="18"/>
          <w:szCs w:val="18"/>
          <w:lang w:val="en-GB"/>
        </w:rPr>
        <w:t xml:space="preserve">generally </w:t>
      </w:r>
      <w:r w:rsidRPr="00194B01">
        <w:rPr>
          <w:rStyle w:val="Fett"/>
          <w:b w:val="0"/>
          <w:color w:val="auto"/>
          <w:sz w:val="18"/>
          <w:szCs w:val="18"/>
          <w:lang w:val="en-GB"/>
        </w:rPr>
        <w:t>uploaded periodically into a central d</w:t>
      </w:r>
      <w:r>
        <w:rPr>
          <w:rStyle w:val="Fett"/>
          <w:b w:val="0"/>
          <w:color w:val="auto"/>
          <w:sz w:val="18"/>
          <w:szCs w:val="18"/>
          <w:lang w:val="en-GB"/>
        </w:rPr>
        <w:t>atabase for statistical analyses</w:t>
      </w:r>
      <w:r w:rsidRPr="00194B01">
        <w:rPr>
          <w:rStyle w:val="Fett"/>
          <w:b w:val="0"/>
          <w:color w:val="auto"/>
          <w:sz w:val="18"/>
          <w:szCs w:val="18"/>
          <w:lang w:val="en-GB"/>
        </w:rPr>
        <w:t xml:space="preserve">. </w:t>
      </w:r>
      <w:r>
        <w:rPr>
          <w:rStyle w:val="Fett"/>
          <w:b w:val="0"/>
          <w:color w:val="auto"/>
          <w:sz w:val="18"/>
          <w:szCs w:val="18"/>
          <w:lang w:val="en-GB"/>
        </w:rPr>
        <w:t>D</w:t>
      </w:r>
      <w:r w:rsidRPr="00194B01">
        <w:rPr>
          <w:rStyle w:val="Fett"/>
          <w:b w:val="0"/>
          <w:color w:val="auto"/>
          <w:sz w:val="18"/>
          <w:szCs w:val="18"/>
          <w:lang w:val="en-GB"/>
        </w:rPr>
        <w:t xml:space="preserve">isease registries are </w:t>
      </w:r>
      <w:r w:rsidR="00CA7889">
        <w:rPr>
          <w:rStyle w:val="Fett"/>
          <w:b w:val="0"/>
          <w:color w:val="auto"/>
          <w:sz w:val="18"/>
          <w:szCs w:val="18"/>
          <w:lang w:val="en-GB"/>
        </w:rPr>
        <w:t xml:space="preserve">therefore </w:t>
      </w:r>
      <w:r w:rsidR="00CA7889" w:rsidRPr="00CA7889">
        <w:rPr>
          <w:rStyle w:val="Fett"/>
          <w:b w:val="0"/>
          <w:color w:val="auto"/>
          <w:sz w:val="18"/>
          <w:szCs w:val="18"/>
          <w:lang w:val="en-GB"/>
        </w:rPr>
        <w:t xml:space="preserve">generally not </w:t>
      </w:r>
      <w:r w:rsidR="00A5603D">
        <w:rPr>
          <w:rStyle w:val="Fett"/>
          <w:b w:val="0"/>
          <w:color w:val="auto"/>
          <w:sz w:val="18"/>
          <w:szCs w:val="18"/>
          <w:lang w:val="en-GB"/>
        </w:rPr>
        <w:t>suitable</w:t>
      </w:r>
      <w:r w:rsidR="00CA7889" w:rsidRPr="00CA7889">
        <w:rPr>
          <w:rStyle w:val="Fett"/>
          <w:b w:val="0"/>
          <w:color w:val="auto"/>
          <w:sz w:val="18"/>
          <w:szCs w:val="18"/>
          <w:lang w:val="en-GB"/>
        </w:rPr>
        <w:t xml:space="preserve"> for </w:t>
      </w:r>
      <w:r>
        <w:rPr>
          <w:rStyle w:val="Fett"/>
          <w:b w:val="0"/>
          <w:color w:val="auto"/>
          <w:sz w:val="18"/>
          <w:szCs w:val="18"/>
          <w:lang w:val="en-GB"/>
        </w:rPr>
        <w:t>a</w:t>
      </w:r>
      <w:r w:rsidR="00CA7889" w:rsidRPr="00CA7889">
        <w:rPr>
          <w:rStyle w:val="Fett"/>
          <w:b w:val="0"/>
          <w:color w:val="auto"/>
          <w:sz w:val="18"/>
          <w:szCs w:val="18"/>
          <w:lang w:val="en-GB"/>
        </w:rPr>
        <w:t xml:space="preserve"> rapid </w:t>
      </w:r>
      <w:r>
        <w:rPr>
          <w:rStyle w:val="Fett"/>
          <w:b w:val="0"/>
          <w:color w:val="auto"/>
          <w:sz w:val="18"/>
          <w:szCs w:val="18"/>
          <w:lang w:val="en-GB"/>
        </w:rPr>
        <w:t>statistical analysis</w:t>
      </w:r>
      <w:r w:rsidR="00CA7889" w:rsidRPr="00CA7889">
        <w:rPr>
          <w:rStyle w:val="Fett"/>
          <w:b w:val="0"/>
          <w:color w:val="auto"/>
          <w:sz w:val="18"/>
          <w:szCs w:val="18"/>
          <w:lang w:val="en-GB"/>
        </w:rPr>
        <w:t xml:space="preserve"> of </w:t>
      </w:r>
      <w:r>
        <w:rPr>
          <w:rStyle w:val="Fett"/>
          <w:b w:val="0"/>
          <w:color w:val="auto"/>
          <w:sz w:val="18"/>
          <w:szCs w:val="18"/>
          <w:lang w:val="en-GB"/>
        </w:rPr>
        <w:t xml:space="preserve">new </w:t>
      </w:r>
      <w:r w:rsidR="00CA7889" w:rsidRPr="00CA7889">
        <w:rPr>
          <w:rStyle w:val="Fett"/>
          <w:b w:val="0"/>
          <w:color w:val="auto"/>
          <w:sz w:val="18"/>
          <w:szCs w:val="18"/>
          <w:lang w:val="en-GB"/>
        </w:rPr>
        <w:t>safety signals</w:t>
      </w:r>
      <w:r w:rsidR="00CA7889">
        <w:rPr>
          <w:rStyle w:val="Fett"/>
          <w:b w:val="0"/>
          <w:color w:val="auto"/>
          <w:sz w:val="18"/>
          <w:szCs w:val="18"/>
          <w:lang w:val="en-GB"/>
        </w:rPr>
        <w:t>.</w:t>
      </w:r>
      <w:r w:rsidR="00CA7889" w:rsidRPr="00CA7889">
        <w:rPr>
          <w:rStyle w:val="Fett"/>
          <w:b w:val="0"/>
          <w:color w:val="auto"/>
          <w:sz w:val="18"/>
          <w:szCs w:val="18"/>
          <w:lang w:val="en-GB"/>
        </w:rPr>
        <w:t xml:space="preserve"> </w:t>
      </w:r>
      <w:r w:rsidRPr="00194B01">
        <w:rPr>
          <w:rStyle w:val="Fett"/>
          <w:b w:val="0"/>
          <w:color w:val="auto"/>
          <w:sz w:val="18"/>
          <w:szCs w:val="18"/>
          <w:lang w:val="en-GB"/>
        </w:rPr>
        <w:t xml:space="preserve">Disease registries may </w:t>
      </w:r>
      <w:r w:rsidR="00715078">
        <w:rPr>
          <w:rStyle w:val="Fett"/>
          <w:b w:val="0"/>
          <w:color w:val="auto"/>
          <w:sz w:val="18"/>
          <w:szCs w:val="18"/>
          <w:lang w:val="en-GB"/>
        </w:rPr>
        <w:t>however</w:t>
      </w:r>
      <w:r w:rsidRPr="00194B01">
        <w:rPr>
          <w:rStyle w:val="Fett"/>
          <w:b w:val="0"/>
          <w:color w:val="auto"/>
          <w:sz w:val="18"/>
          <w:szCs w:val="18"/>
          <w:lang w:val="en-GB"/>
        </w:rPr>
        <w:t xml:space="preserve"> be useful for the monitoring and characterisation of known or suspected adverse reactions previously identified from clinical trials, the pharmacology of the drug, the spontaneous reporting system or other sources. In such case, a list of adverse events of special interest (AESI) can be defined and integrated in the routine data collection system with sufficient information to allow subsequently the conduct of further investigations on risk of occurrence, association with exposure(s), delay of onset, and severity and clinical outcome of the </w:t>
      </w:r>
      <w:r w:rsidR="00E22128">
        <w:rPr>
          <w:rStyle w:val="Fett"/>
          <w:b w:val="0"/>
          <w:color w:val="auto"/>
          <w:sz w:val="18"/>
          <w:szCs w:val="18"/>
          <w:lang w:val="en-GB"/>
        </w:rPr>
        <w:t>adverse reaction</w:t>
      </w:r>
      <w:r w:rsidR="00F30906">
        <w:rPr>
          <w:rStyle w:val="Fett"/>
          <w:b w:val="0"/>
          <w:color w:val="auto"/>
          <w:sz w:val="18"/>
          <w:szCs w:val="18"/>
          <w:lang w:val="en-GB"/>
        </w:rPr>
        <w:t>.</w:t>
      </w:r>
      <w:r w:rsidRPr="00194B01">
        <w:rPr>
          <w:rStyle w:val="Fett"/>
          <w:b w:val="0"/>
          <w:color w:val="auto"/>
          <w:sz w:val="18"/>
          <w:szCs w:val="18"/>
          <w:lang w:val="en-GB"/>
        </w:rPr>
        <w:t xml:space="preserve"> For medicinal products with a RMP, AESIs may represent the important identified risks, important potential risks or missing information. Standard definitions and the MedDRA terminology should be used for the coding of AESIs. </w:t>
      </w:r>
    </w:p>
    <w:p w:rsidR="009C2FCF" w:rsidRPr="008B040E" w:rsidRDefault="00D64049" w:rsidP="008B040E">
      <w:pPr>
        <w:pStyle w:val="Heading3Agency"/>
      </w:pPr>
      <w:bookmarkStart w:id="99" w:name="_Toc528934941"/>
      <w:r w:rsidRPr="008B040E">
        <w:t>Aggregate analysis of adverse events</w:t>
      </w:r>
      <w:bookmarkEnd w:id="99"/>
    </w:p>
    <w:p w:rsidR="00AD4CBC" w:rsidRPr="0029175B" w:rsidRDefault="00D64049" w:rsidP="00AD4CBC">
      <w:pPr>
        <w:pStyle w:val="Default"/>
        <w:spacing w:after="140" w:line="280" w:lineRule="exact"/>
        <w:rPr>
          <w:rStyle w:val="Fett"/>
          <w:b w:val="0"/>
          <w:color w:val="auto"/>
          <w:sz w:val="18"/>
          <w:szCs w:val="18"/>
          <w:lang w:val="en-GB"/>
        </w:rPr>
      </w:pPr>
      <w:r w:rsidRPr="0029175B">
        <w:rPr>
          <w:rStyle w:val="Fett"/>
          <w:b w:val="0"/>
          <w:color w:val="auto"/>
          <w:sz w:val="18"/>
          <w:szCs w:val="18"/>
          <w:lang w:val="en-GB"/>
        </w:rPr>
        <w:t xml:space="preserve">Routine statistical analyses </w:t>
      </w:r>
      <w:r w:rsidR="00AB5F82">
        <w:rPr>
          <w:rStyle w:val="Fett"/>
          <w:b w:val="0"/>
          <w:color w:val="auto"/>
          <w:sz w:val="18"/>
          <w:szCs w:val="18"/>
          <w:lang w:val="en-GB"/>
        </w:rPr>
        <w:t xml:space="preserve">of </w:t>
      </w:r>
      <w:r>
        <w:rPr>
          <w:rStyle w:val="Fett"/>
          <w:b w:val="0"/>
          <w:color w:val="auto"/>
          <w:sz w:val="18"/>
          <w:szCs w:val="18"/>
          <w:lang w:val="en-GB"/>
        </w:rPr>
        <w:t xml:space="preserve">collected </w:t>
      </w:r>
      <w:r w:rsidR="00AB5F82">
        <w:rPr>
          <w:rStyle w:val="Fett"/>
          <w:b w:val="0"/>
          <w:color w:val="auto"/>
          <w:sz w:val="18"/>
          <w:szCs w:val="18"/>
          <w:lang w:val="en-GB"/>
        </w:rPr>
        <w:t xml:space="preserve">adverse events </w:t>
      </w:r>
      <w:r w:rsidR="00484025" w:rsidRPr="0029175B">
        <w:rPr>
          <w:rStyle w:val="Fett"/>
          <w:b w:val="0"/>
          <w:color w:val="auto"/>
          <w:sz w:val="18"/>
          <w:szCs w:val="18"/>
          <w:lang w:val="en-GB"/>
        </w:rPr>
        <w:t>c</w:t>
      </w:r>
      <w:r w:rsidRPr="0029175B">
        <w:rPr>
          <w:rStyle w:val="Fett"/>
          <w:b w:val="0"/>
          <w:color w:val="auto"/>
          <w:sz w:val="18"/>
          <w:szCs w:val="18"/>
          <w:lang w:val="en-GB"/>
        </w:rPr>
        <w:t xml:space="preserve">ould be based on standard </w:t>
      </w:r>
      <w:r w:rsidR="00484025" w:rsidRPr="0029175B">
        <w:rPr>
          <w:rStyle w:val="Fett"/>
          <w:b w:val="0"/>
          <w:color w:val="auto"/>
          <w:sz w:val="18"/>
          <w:szCs w:val="18"/>
          <w:lang w:val="en-GB"/>
        </w:rPr>
        <w:t xml:space="preserve">statistical </w:t>
      </w:r>
      <w:r w:rsidR="00111FDB" w:rsidRPr="0029175B">
        <w:rPr>
          <w:rStyle w:val="Fett"/>
          <w:b w:val="0"/>
          <w:color w:val="auto"/>
          <w:sz w:val="18"/>
          <w:szCs w:val="18"/>
          <w:lang w:val="en-GB"/>
        </w:rPr>
        <w:t>programm</w:t>
      </w:r>
      <w:r w:rsidR="00111FDB">
        <w:rPr>
          <w:rStyle w:val="Fett"/>
          <w:b w:val="0"/>
          <w:color w:val="auto"/>
          <w:sz w:val="18"/>
          <w:szCs w:val="18"/>
          <w:lang w:val="en-GB"/>
        </w:rPr>
        <w:t>ing</w:t>
      </w:r>
      <w:r w:rsidR="00111FDB" w:rsidRPr="0029175B">
        <w:rPr>
          <w:rStyle w:val="Fett"/>
          <w:b w:val="0"/>
          <w:color w:val="auto"/>
          <w:sz w:val="18"/>
          <w:szCs w:val="18"/>
          <w:lang w:val="en-GB"/>
        </w:rPr>
        <w:t xml:space="preserve"> </w:t>
      </w:r>
      <w:r w:rsidRPr="0029175B">
        <w:rPr>
          <w:rStyle w:val="Fett"/>
          <w:b w:val="0"/>
          <w:color w:val="auto"/>
          <w:sz w:val="18"/>
          <w:szCs w:val="18"/>
          <w:lang w:val="en-GB"/>
        </w:rPr>
        <w:t>that can be run periodically</w:t>
      </w:r>
      <w:r w:rsidR="009A2F47">
        <w:rPr>
          <w:rStyle w:val="Fett"/>
          <w:b w:val="0"/>
          <w:color w:val="auto"/>
          <w:sz w:val="18"/>
          <w:szCs w:val="18"/>
          <w:lang w:val="en-GB"/>
        </w:rPr>
        <w:t xml:space="preserve"> by registries</w:t>
      </w:r>
      <w:r w:rsidRPr="0029175B">
        <w:rPr>
          <w:rStyle w:val="Fett"/>
          <w:b w:val="0"/>
          <w:color w:val="auto"/>
          <w:sz w:val="18"/>
          <w:szCs w:val="18"/>
          <w:lang w:val="en-GB"/>
        </w:rPr>
        <w:t xml:space="preserve"> or upon requests from a regulator or a MAH</w:t>
      </w:r>
      <w:r w:rsidR="009708E3">
        <w:rPr>
          <w:rStyle w:val="Fett"/>
          <w:b w:val="0"/>
          <w:color w:val="auto"/>
          <w:sz w:val="18"/>
          <w:szCs w:val="18"/>
          <w:lang w:val="en-GB"/>
        </w:rPr>
        <w:t>, and agreed with them</w:t>
      </w:r>
      <w:r w:rsidRPr="0029175B">
        <w:rPr>
          <w:rStyle w:val="Fett"/>
          <w:b w:val="0"/>
          <w:color w:val="auto"/>
          <w:sz w:val="18"/>
          <w:szCs w:val="18"/>
          <w:lang w:val="en-GB"/>
        </w:rPr>
        <w:t>. Analyses can be descriptive but can also integrate comparisons between different treatment groups (based on therapies, dose, duration, etc</w:t>
      </w:r>
      <w:r w:rsidR="00260B8C">
        <w:rPr>
          <w:rStyle w:val="Fett"/>
          <w:b w:val="0"/>
          <w:color w:val="auto"/>
          <w:sz w:val="18"/>
          <w:szCs w:val="18"/>
          <w:lang w:val="en-GB"/>
        </w:rPr>
        <w:t>.</w:t>
      </w:r>
      <w:r w:rsidRPr="0029175B">
        <w:rPr>
          <w:rStyle w:val="Fett"/>
          <w:b w:val="0"/>
          <w:color w:val="auto"/>
          <w:sz w:val="18"/>
          <w:szCs w:val="18"/>
          <w:lang w:val="en-GB"/>
        </w:rPr>
        <w:t>) or categories of patient characteristics. Routine statistical analyses should be defined in advance and described in</w:t>
      </w:r>
      <w:r w:rsidR="009704FE">
        <w:rPr>
          <w:rStyle w:val="Fett"/>
          <w:b w:val="0"/>
          <w:color w:val="auto"/>
          <w:sz w:val="18"/>
          <w:szCs w:val="18"/>
          <w:lang w:val="en-GB"/>
        </w:rPr>
        <w:t xml:space="preserve"> a</w:t>
      </w:r>
      <w:r w:rsidRPr="0029175B">
        <w:rPr>
          <w:rStyle w:val="Fett"/>
          <w:b w:val="0"/>
          <w:color w:val="auto"/>
          <w:sz w:val="18"/>
          <w:szCs w:val="18"/>
          <w:lang w:val="en-GB"/>
        </w:rPr>
        <w:t xml:space="preserve"> SAP. Comparative analyses could require defining comparator exposure groups and controlling for confounding factors, especially confounding by indication. Consideration should also be given to </w:t>
      </w:r>
      <w:r w:rsidRPr="0029175B">
        <w:rPr>
          <w:rStyle w:val="Fett"/>
          <w:b w:val="0"/>
          <w:color w:val="auto"/>
          <w:sz w:val="18"/>
          <w:szCs w:val="18"/>
          <w:lang w:val="en-GB"/>
        </w:rPr>
        <w:lastRenderedPageBreak/>
        <w:t>various treatment periods to which patients may be exposed, especially in case of switching between therapies, in order to avoid time-related bias</w:t>
      </w:r>
      <w:r w:rsidR="00DE62C5" w:rsidRPr="0029175B">
        <w:rPr>
          <w:rStyle w:val="Fett"/>
          <w:b w:val="0"/>
          <w:color w:val="auto"/>
          <w:sz w:val="18"/>
          <w:szCs w:val="18"/>
          <w:lang w:val="en-GB"/>
        </w:rPr>
        <w:t xml:space="preserve"> (hence the need for</w:t>
      </w:r>
      <w:r w:rsidRPr="0029175B">
        <w:rPr>
          <w:rStyle w:val="Fett"/>
          <w:b w:val="0"/>
          <w:color w:val="auto"/>
          <w:sz w:val="18"/>
          <w:szCs w:val="18"/>
          <w:lang w:val="en-GB"/>
        </w:rPr>
        <w:t xml:space="preserve"> an accurate recording of times of entry into the registry and start and e</w:t>
      </w:r>
      <w:r w:rsidR="00D1787C" w:rsidRPr="0029175B">
        <w:rPr>
          <w:rStyle w:val="Fett"/>
          <w:b w:val="0"/>
          <w:color w:val="auto"/>
          <w:sz w:val="18"/>
          <w:szCs w:val="18"/>
          <w:lang w:val="en-GB"/>
        </w:rPr>
        <w:t>nd times of different therapies</w:t>
      </w:r>
      <w:r w:rsidR="00DE62C5" w:rsidRPr="0029175B">
        <w:rPr>
          <w:rStyle w:val="Fett"/>
          <w:b w:val="0"/>
          <w:color w:val="auto"/>
          <w:sz w:val="18"/>
          <w:szCs w:val="18"/>
          <w:lang w:val="en-GB"/>
        </w:rPr>
        <w:t>)</w:t>
      </w:r>
      <w:r w:rsidRPr="0029175B">
        <w:rPr>
          <w:rStyle w:val="Fett"/>
          <w:b w:val="0"/>
          <w:color w:val="auto"/>
          <w:sz w:val="18"/>
          <w:szCs w:val="18"/>
          <w:lang w:val="en-GB"/>
        </w:rPr>
        <w:t xml:space="preserve">. </w:t>
      </w:r>
    </w:p>
    <w:p w:rsidR="00AD4CBC" w:rsidRPr="008B040E" w:rsidRDefault="00D64049" w:rsidP="008B040E">
      <w:pPr>
        <w:pStyle w:val="Heading2Agency"/>
        <w:rPr>
          <w:rStyle w:val="Fett"/>
          <w:b/>
          <w:bCs/>
        </w:rPr>
      </w:pPr>
      <w:bookmarkStart w:id="100" w:name="_Toc528934942"/>
      <w:r w:rsidRPr="008B040E">
        <w:rPr>
          <w:rStyle w:val="Fett"/>
          <w:b/>
          <w:bCs/>
        </w:rPr>
        <w:t>Governance</w:t>
      </w:r>
      <w:bookmarkEnd w:id="100"/>
    </w:p>
    <w:p w:rsidR="00AD4CBC" w:rsidRPr="008B040E" w:rsidRDefault="00D64049" w:rsidP="008B040E">
      <w:pPr>
        <w:pStyle w:val="Heading3Agency"/>
        <w:rPr>
          <w:rStyle w:val="Fett"/>
          <w:b/>
          <w:bCs/>
        </w:rPr>
      </w:pPr>
      <w:bookmarkStart w:id="101" w:name="_Toc528934943"/>
      <w:r w:rsidRPr="008B040E">
        <w:rPr>
          <w:rStyle w:val="Fett"/>
          <w:b/>
          <w:bCs/>
        </w:rPr>
        <w:t xml:space="preserve">Governance </w:t>
      </w:r>
      <w:r w:rsidR="00B343A7" w:rsidRPr="008B040E">
        <w:rPr>
          <w:rStyle w:val="Fett"/>
          <w:b/>
          <w:bCs/>
        </w:rPr>
        <w:t>principles</w:t>
      </w:r>
      <w:bookmarkEnd w:id="101"/>
    </w:p>
    <w:p w:rsidR="00434B3F" w:rsidRPr="00434B3F" w:rsidRDefault="00D64049" w:rsidP="00434B3F">
      <w:pPr>
        <w:pStyle w:val="BodytextAgency"/>
      </w:pPr>
      <w:r>
        <w:t xml:space="preserve">Most registries and </w:t>
      </w:r>
      <w:r w:rsidR="00E10359">
        <w:t xml:space="preserve">potential </w:t>
      </w:r>
      <w:r>
        <w:t xml:space="preserve">users of registry data have </w:t>
      </w:r>
      <w:r w:rsidR="003D03B0">
        <w:t xml:space="preserve">a </w:t>
      </w:r>
      <w:r w:rsidRPr="00AD4CBC">
        <w:t xml:space="preserve">governance model </w:t>
      </w:r>
      <w:r w:rsidR="00131214">
        <w:t>relying</w:t>
      </w:r>
      <w:r>
        <w:t xml:space="preserve"> on principles and constraints based on </w:t>
      </w:r>
      <w:r w:rsidRPr="00AD4CBC">
        <w:t xml:space="preserve">their </w:t>
      </w:r>
      <w:r>
        <w:t>mandate, operating procedures</w:t>
      </w:r>
      <w:r w:rsidR="005C5014">
        <w:t>,</w:t>
      </w:r>
      <w:r>
        <w:t xml:space="preserve"> </w:t>
      </w:r>
      <w:r w:rsidR="00A7721D">
        <w:t>legal environment or</w:t>
      </w:r>
      <w:r w:rsidR="005C5014">
        <w:t xml:space="preserve"> funding sources</w:t>
      </w:r>
      <w:r>
        <w:t>. Effective collaboration between all parties is therefore needed to ensure early identification of relevant registries and evaluation of the adequacy and quality of the data collected</w:t>
      </w:r>
      <w:r w:rsidR="00720F77">
        <w:t xml:space="preserve"> if the data are to be used for regulatory purposes</w:t>
      </w:r>
      <w:r>
        <w:t>. A number of activities that may be performed by registry coordinators, MAA/MAH and regulators are proposed below to strengthen the governance for the use of registry data</w:t>
      </w:r>
      <w:r w:rsidR="00B60058">
        <w:t>.</w:t>
      </w:r>
    </w:p>
    <w:p w:rsidR="00783292" w:rsidRPr="0029175B" w:rsidRDefault="00D64049" w:rsidP="00783292">
      <w:pPr>
        <w:pStyle w:val="Heading4Agency"/>
      </w:pPr>
      <w:bookmarkStart w:id="102" w:name="_Toc528934944"/>
      <w:r w:rsidRPr="0029175B">
        <w:t>Role of registr</w:t>
      </w:r>
      <w:r w:rsidR="00F54E38">
        <w:t>y coordinators</w:t>
      </w:r>
      <w:bookmarkEnd w:id="102"/>
    </w:p>
    <w:p w:rsidR="00AD4CBC" w:rsidRPr="0029175B" w:rsidRDefault="00D64049" w:rsidP="00AD4CBC">
      <w:pPr>
        <w:pStyle w:val="Default"/>
        <w:spacing w:after="140" w:line="280" w:lineRule="exact"/>
        <w:rPr>
          <w:rFonts w:eastAsia="Verdana"/>
          <w:bCs/>
          <w:sz w:val="18"/>
          <w:szCs w:val="18"/>
          <w:lang w:val="en-GB" w:eastAsia="en-GB"/>
        </w:rPr>
      </w:pPr>
      <w:r w:rsidRPr="0029175B">
        <w:rPr>
          <w:rFonts w:eastAsia="Verdana"/>
          <w:sz w:val="18"/>
          <w:szCs w:val="18"/>
          <w:lang w:val="en-GB" w:eastAsia="en-GB"/>
        </w:rPr>
        <w:t>Man</w:t>
      </w:r>
      <w:r w:rsidRPr="0029175B">
        <w:rPr>
          <w:rFonts w:eastAsia="Verdana"/>
          <w:bCs/>
          <w:sz w:val="18"/>
          <w:szCs w:val="18"/>
          <w:lang w:val="en-GB" w:eastAsia="en-GB"/>
        </w:rPr>
        <w:t xml:space="preserve">y </w:t>
      </w:r>
      <w:r w:rsidR="00783292" w:rsidRPr="0029175B">
        <w:rPr>
          <w:rFonts w:eastAsia="Verdana"/>
          <w:bCs/>
          <w:sz w:val="18"/>
          <w:szCs w:val="18"/>
          <w:lang w:val="en-GB" w:eastAsia="en-GB"/>
        </w:rPr>
        <w:t>registries</w:t>
      </w:r>
      <w:r w:rsidRPr="0029175B">
        <w:rPr>
          <w:rFonts w:eastAsia="Verdana"/>
          <w:bCs/>
          <w:sz w:val="18"/>
          <w:szCs w:val="18"/>
          <w:lang w:val="en-GB" w:eastAsia="en-GB"/>
        </w:rPr>
        <w:t xml:space="preserve"> have been established for clinical evaluation and academic research purposes and </w:t>
      </w:r>
      <w:r w:rsidR="00946ED0" w:rsidRPr="0029175B">
        <w:rPr>
          <w:rFonts w:eastAsia="Verdana"/>
          <w:bCs/>
          <w:sz w:val="18"/>
          <w:szCs w:val="18"/>
          <w:lang w:val="en-GB" w:eastAsia="en-GB"/>
        </w:rPr>
        <w:t xml:space="preserve">some </w:t>
      </w:r>
      <w:r w:rsidRPr="0029175B">
        <w:rPr>
          <w:rFonts w:eastAsia="Verdana"/>
          <w:bCs/>
          <w:sz w:val="18"/>
          <w:szCs w:val="18"/>
          <w:lang w:val="en-GB" w:eastAsia="en-GB"/>
        </w:rPr>
        <w:t xml:space="preserve">do not have processes in place to allow use of the data for other purposes, e.g. to support monitoring of drug utilisation or safety of medicinal products, </w:t>
      </w:r>
      <w:r w:rsidR="00783292" w:rsidRPr="0029175B">
        <w:rPr>
          <w:rFonts w:eastAsia="Verdana"/>
          <w:bCs/>
          <w:sz w:val="18"/>
          <w:szCs w:val="18"/>
          <w:lang w:val="en-GB" w:eastAsia="en-GB"/>
        </w:rPr>
        <w:t>with</w:t>
      </w:r>
      <w:r w:rsidRPr="0029175B">
        <w:rPr>
          <w:rFonts w:eastAsia="Verdana"/>
          <w:bCs/>
          <w:sz w:val="18"/>
          <w:szCs w:val="18"/>
          <w:lang w:val="en-GB" w:eastAsia="en-GB"/>
        </w:rPr>
        <w:t xml:space="preserve"> limited flexibility for providing individual patient level or aggregated data to external organisations. Divergent priorities among stakeholders must also be recognized: </w:t>
      </w:r>
      <w:r w:rsidRPr="0029175B">
        <w:rPr>
          <w:rFonts w:eastAsia="Verdana"/>
          <w:sz w:val="18"/>
          <w:szCs w:val="18"/>
          <w:lang w:val="en-GB" w:eastAsia="en-GB"/>
        </w:rPr>
        <w:t>many patient registries will participate in research only if they can preserve their scientific independence, maintain control of the management of registry data and provide only aggregated data</w:t>
      </w:r>
      <w:r w:rsidR="00983019">
        <w:rPr>
          <w:rFonts w:eastAsia="Verdana"/>
          <w:sz w:val="18"/>
          <w:szCs w:val="18"/>
          <w:lang w:val="en-GB" w:eastAsia="en-GB"/>
        </w:rPr>
        <w:t xml:space="preserve"> without having to re-consent patients for specific registry studies</w:t>
      </w:r>
      <w:r w:rsidR="00F54C31" w:rsidRPr="0029175B">
        <w:rPr>
          <w:rFonts w:eastAsia="Verdana"/>
          <w:sz w:val="18"/>
          <w:szCs w:val="18"/>
          <w:lang w:val="en-GB" w:eastAsia="en-GB"/>
        </w:rPr>
        <w:t>. T</w:t>
      </w:r>
      <w:r w:rsidRPr="0029175B">
        <w:rPr>
          <w:rFonts w:eastAsia="Verdana"/>
          <w:sz w:val="18"/>
          <w:szCs w:val="18"/>
          <w:lang w:val="en-GB" w:eastAsia="en-GB"/>
        </w:rPr>
        <w:t xml:space="preserve">his principle may </w:t>
      </w:r>
      <w:r w:rsidR="005C5014">
        <w:rPr>
          <w:rFonts w:eastAsia="Verdana"/>
          <w:sz w:val="18"/>
          <w:szCs w:val="18"/>
          <w:lang w:val="en-GB" w:eastAsia="en-GB"/>
        </w:rPr>
        <w:t>diverge from</w:t>
      </w:r>
      <w:r w:rsidRPr="0029175B">
        <w:rPr>
          <w:rFonts w:eastAsia="Verdana"/>
          <w:sz w:val="18"/>
          <w:szCs w:val="18"/>
          <w:lang w:val="en-GB" w:eastAsia="en-GB"/>
        </w:rPr>
        <w:t xml:space="preserve"> </w:t>
      </w:r>
      <w:r w:rsidR="00F54C31" w:rsidRPr="0029175B">
        <w:rPr>
          <w:rFonts w:eastAsia="Verdana"/>
          <w:bCs/>
          <w:sz w:val="18"/>
          <w:szCs w:val="18"/>
          <w:lang w:val="en-GB" w:eastAsia="en-GB"/>
        </w:rPr>
        <w:t>priorities of other stakeholders</w:t>
      </w:r>
      <w:r w:rsidRPr="0029175B">
        <w:rPr>
          <w:rFonts w:eastAsia="Verdana"/>
          <w:bCs/>
          <w:sz w:val="18"/>
          <w:szCs w:val="18"/>
          <w:lang w:val="en-GB" w:eastAsia="en-GB"/>
        </w:rPr>
        <w:t xml:space="preserve">, especially where a PASS has been imposed </w:t>
      </w:r>
      <w:r w:rsidR="00E813C5">
        <w:rPr>
          <w:rFonts w:eastAsia="Verdana"/>
          <w:bCs/>
          <w:sz w:val="18"/>
          <w:szCs w:val="18"/>
          <w:lang w:val="en-GB" w:eastAsia="en-GB"/>
        </w:rPr>
        <w:t xml:space="preserve">to a MAH </w:t>
      </w:r>
      <w:r w:rsidRPr="0029175B">
        <w:rPr>
          <w:rFonts w:eastAsia="Verdana"/>
          <w:bCs/>
          <w:sz w:val="18"/>
          <w:szCs w:val="18"/>
          <w:lang w:val="en-GB" w:eastAsia="en-GB"/>
        </w:rPr>
        <w:t>as a legal obligation by a regulatory authority.</w:t>
      </w:r>
    </w:p>
    <w:p w:rsidR="00AD4CBC" w:rsidRPr="0029175B" w:rsidRDefault="00D64049" w:rsidP="00AD4CBC">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The consideration of patient registries for regulatory purposes respecting stakeholders’ priorities could be facilitated by the development and publication of clear governance principles and support functions by registry coordinators. Such principles and functions could include:</w:t>
      </w:r>
    </w:p>
    <w:p w:rsidR="00E813C5" w:rsidRDefault="00D64049" w:rsidP="00E813C5">
      <w:pPr>
        <w:pStyle w:val="Default"/>
        <w:numPr>
          <w:ilvl w:val="0"/>
          <w:numId w:val="19"/>
        </w:numPr>
        <w:spacing w:after="140" w:line="280" w:lineRule="exact"/>
        <w:rPr>
          <w:rFonts w:eastAsia="Verdana"/>
          <w:bCs/>
          <w:sz w:val="18"/>
          <w:szCs w:val="18"/>
          <w:lang w:val="en-GB" w:eastAsia="en-GB"/>
        </w:rPr>
      </w:pPr>
      <w:r>
        <w:rPr>
          <w:rFonts w:eastAsia="Verdana"/>
          <w:bCs/>
          <w:sz w:val="18"/>
          <w:szCs w:val="18"/>
          <w:lang w:val="en-GB" w:eastAsia="en-GB"/>
        </w:rPr>
        <w:t xml:space="preserve">a published </w:t>
      </w:r>
      <w:r w:rsidR="00B460FE" w:rsidRPr="00E813C5">
        <w:rPr>
          <w:rFonts w:eastAsia="Verdana"/>
          <w:bCs/>
          <w:sz w:val="18"/>
          <w:szCs w:val="18"/>
          <w:lang w:val="en-GB" w:eastAsia="en-GB"/>
        </w:rPr>
        <w:t>documentation of key registry characteristics, such as patient inclusion and exclusion criteria, extent and detail of data collected and available for secondary use, procedures and instructions for data collection, upload and analysis (with timelines), and quality management</w:t>
      </w:r>
      <w:r w:rsidR="00B460FE">
        <w:rPr>
          <w:rFonts w:eastAsia="Verdana"/>
          <w:bCs/>
          <w:sz w:val="18"/>
          <w:szCs w:val="18"/>
          <w:lang w:val="en-GB" w:eastAsia="en-GB"/>
        </w:rPr>
        <w:t>;</w:t>
      </w:r>
    </w:p>
    <w:p w:rsidR="00AD4CBC" w:rsidRPr="0029175B" w:rsidRDefault="00D64049" w:rsidP="00AD4CBC">
      <w:pPr>
        <w:pStyle w:val="Default"/>
        <w:numPr>
          <w:ilvl w:val="0"/>
          <w:numId w:val="19"/>
        </w:numPr>
        <w:spacing w:after="140" w:line="280" w:lineRule="exact"/>
        <w:rPr>
          <w:rFonts w:eastAsia="Verdana"/>
          <w:bCs/>
          <w:sz w:val="18"/>
          <w:szCs w:val="18"/>
          <w:lang w:val="en-GB" w:eastAsia="en-GB"/>
        </w:rPr>
      </w:pPr>
      <w:r w:rsidRPr="0029175B">
        <w:rPr>
          <w:rFonts w:eastAsia="Verdana"/>
          <w:bCs/>
          <w:sz w:val="18"/>
          <w:szCs w:val="18"/>
          <w:lang w:val="en-GB" w:eastAsia="en-GB"/>
        </w:rPr>
        <w:t>a single contact point for requesting information on available data and data access conditions, including for multi-registry platforms;</w:t>
      </w:r>
    </w:p>
    <w:p w:rsidR="00AD4CBC" w:rsidRPr="0029175B" w:rsidRDefault="00D64049" w:rsidP="00AD4CBC">
      <w:pPr>
        <w:pStyle w:val="Default"/>
        <w:numPr>
          <w:ilvl w:val="0"/>
          <w:numId w:val="19"/>
        </w:numPr>
        <w:spacing w:after="140" w:line="280" w:lineRule="exact"/>
        <w:rPr>
          <w:sz w:val="18"/>
          <w:szCs w:val="18"/>
          <w:lang w:val="en-GB"/>
        </w:rPr>
      </w:pPr>
      <w:r w:rsidRPr="0029175B">
        <w:rPr>
          <w:rFonts w:eastAsia="Verdana"/>
          <w:bCs/>
          <w:sz w:val="18"/>
          <w:szCs w:val="18"/>
          <w:lang w:val="en-GB" w:eastAsia="en-GB"/>
        </w:rPr>
        <w:t>a p</w:t>
      </w:r>
      <w:r w:rsidR="00DE62C5" w:rsidRPr="0029175B">
        <w:rPr>
          <w:rFonts w:eastAsia="Verdana"/>
          <w:bCs/>
          <w:sz w:val="18"/>
          <w:szCs w:val="18"/>
          <w:lang w:val="en-GB" w:eastAsia="en-GB"/>
        </w:rPr>
        <w:t>ublished p</w:t>
      </w:r>
      <w:r w:rsidRPr="0029175B">
        <w:rPr>
          <w:rFonts w:eastAsia="Verdana"/>
          <w:bCs/>
          <w:sz w:val="18"/>
          <w:szCs w:val="18"/>
          <w:lang w:val="en-GB" w:eastAsia="en-GB"/>
        </w:rPr>
        <w:t>olicy for collaboration with external stakeholders (pharmaceutical companies or other organisations), including information such</w:t>
      </w:r>
      <w:r w:rsidR="00587C8E" w:rsidRPr="0029175B">
        <w:rPr>
          <w:rFonts w:eastAsia="Verdana"/>
          <w:bCs/>
          <w:sz w:val="18"/>
          <w:szCs w:val="18"/>
          <w:lang w:val="en-GB" w:eastAsia="en-GB"/>
        </w:rPr>
        <w:t xml:space="preserve"> as</w:t>
      </w:r>
      <w:r w:rsidRPr="0029175B">
        <w:rPr>
          <w:rFonts w:eastAsia="Verdana"/>
          <w:bCs/>
          <w:sz w:val="18"/>
          <w:szCs w:val="18"/>
          <w:lang w:val="en-GB" w:eastAsia="en-GB"/>
        </w:rPr>
        <w:t xml:space="preserve"> </w:t>
      </w:r>
      <w:r w:rsidRPr="0029175B">
        <w:rPr>
          <w:sz w:val="18"/>
          <w:szCs w:val="18"/>
          <w:lang w:val="en-GB"/>
        </w:rPr>
        <w:t>the acceptable scope of collaboration and the range of activities that can be routinely performed by the registry in such collaboration, the extent of safety monitoring, the type and detail of data that may feasibly be collected,</w:t>
      </w:r>
      <w:r w:rsidRPr="0029175B">
        <w:rPr>
          <w:rFonts w:eastAsia="Verdana"/>
          <w:bCs/>
          <w:sz w:val="18"/>
          <w:szCs w:val="18"/>
          <w:lang w:val="en-GB" w:eastAsia="en-GB"/>
        </w:rPr>
        <w:t xml:space="preserve"> principles of data ownership, data sharing and data analysis, possibilities for pooling data from multiple registries and for linkage with other data sources</w:t>
      </w:r>
      <w:r w:rsidR="00DC4E8A" w:rsidRPr="0029175B">
        <w:rPr>
          <w:rFonts w:eastAsia="Verdana"/>
          <w:bCs/>
          <w:sz w:val="18"/>
          <w:szCs w:val="18"/>
          <w:lang w:val="en-GB" w:eastAsia="en-GB"/>
        </w:rPr>
        <w:t>,</w:t>
      </w:r>
      <w:r w:rsidRPr="0029175B">
        <w:rPr>
          <w:rFonts w:eastAsia="Verdana"/>
          <w:bCs/>
          <w:sz w:val="18"/>
          <w:szCs w:val="18"/>
          <w:lang w:val="en-GB" w:eastAsia="en-GB"/>
        </w:rPr>
        <w:t xml:space="preserve"> the approval process </w:t>
      </w:r>
      <w:r w:rsidR="00DC4E8A" w:rsidRPr="0029175B">
        <w:rPr>
          <w:rFonts w:eastAsia="Verdana"/>
          <w:bCs/>
          <w:sz w:val="18"/>
          <w:szCs w:val="18"/>
          <w:lang w:val="en-GB" w:eastAsia="en-GB"/>
        </w:rPr>
        <w:t>with</w:t>
      </w:r>
      <w:r w:rsidRPr="0029175B">
        <w:rPr>
          <w:rFonts w:eastAsia="Verdana"/>
          <w:bCs/>
          <w:sz w:val="18"/>
          <w:szCs w:val="18"/>
          <w:lang w:val="en-GB" w:eastAsia="en-GB"/>
        </w:rPr>
        <w:t xml:space="preserve"> estimation of typical timelines for making decisions, as well as principles for receiving funding from private and public sources; </w:t>
      </w:r>
      <w:r w:rsidR="00783292" w:rsidRPr="0029175B">
        <w:rPr>
          <w:rFonts w:eastAsia="Verdana"/>
          <w:bCs/>
          <w:sz w:val="18"/>
          <w:szCs w:val="18"/>
          <w:lang w:val="en-GB" w:eastAsia="en-GB"/>
        </w:rPr>
        <w:t>this principle would be supported by the registration and description of the registry in a public inventory of registries</w:t>
      </w:r>
      <w:r w:rsidR="00A15914">
        <w:rPr>
          <w:rFonts w:eastAsia="Verdana"/>
          <w:bCs/>
          <w:sz w:val="18"/>
          <w:szCs w:val="18"/>
          <w:lang w:val="en-GB" w:eastAsia="en-GB"/>
        </w:rPr>
        <w:t>;</w:t>
      </w:r>
    </w:p>
    <w:p w:rsidR="00AD4CBC" w:rsidRPr="0029175B" w:rsidRDefault="00D64049" w:rsidP="00AD4CBC">
      <w:pPr>
        <w:pStyle w:val="Default"/>
        <w:numPr>
          <w:ilvl w:val="0"/>
          <w:numId w:val="19"/>
        </w:numPr>
        <w:spacing w:after="140" w:line="280" w:lineRule="exact"/>
        <w:rPr>
          <w:sz w:val="18"/>
          <w:szCs w:val="18"/>
          <w:lang w:val="en-GB"/>
        </w:rPr>
      </w:pPr>
      <w:r w:rsidRPr="0029175B">
        <w:rPr>
          <w:sz w:val="18"/>
          <w:szCs w:val="18"/>
          <w:lang w:val="en-GB"/>
        </w:rPr>
        <w:t>a process for managing requests for collaboration together with a governance structure for decision-making (e.g. steering committee,</w:t>
      </w:r>
      <w:r w:rsidR="00783292" w:rsidRPr="0029175B">
        <w:rPr>
          <w:sz w:val="18"/>
          <w:szCs w:val="18"/>
          <w:lang w:val="en-GB"/>
        </w:rPr>
        <w:t xml:space="preserve"> ethics committee,</w:t>
      </w:r>
      <w:r w:rsidRPr="0029175B">
        <w:rPr>
          <w:sz w:val="18"/>
          <w:szCs w:val="18"/>
          <w:lang w:val="en-GB"/>
        </w:rPr>
        <w:t xml:space="preserve"> advisory board);</w:t>
      </w:r>
    </w:p>
    <w:p w:rsidR="00AD4CBC" w:rsidRPr="0029175B" w:rsidRDefault="00D64049" w:rsidP="00AD4CBC">
      <w:pPr>
        <w:pStyle w:val="Default"/>
        <w:numPr>
          <w:ilvl w:val="0"/>
          <w:numId w:val="19"/>
        </w:numPr>
        <w:spacing w:after="140" w:line="280" w:lineRule="exact"/>
        <w:rPr>
          <w:sz w:val="18"/>
          <w:szCs w:val="18"/>
          <w:lang w:val="en-GB"/>
        </w:rPr>
      </w:pPr>
      <w:r w:rsidRPr="0029175B">
        <w:rPr>
          <w:sz w:val="18"/>
          <w:szCs w:val="18"/>
          <w:lang w:val="en-GB"/>
        </w:rPr>
        <w:lastRenderedPageBreak/>
        <w:t>a support function for scientific aspects of the requests such as additional data collection, study protocols, interoperability between registries, relevance and feasibility of pooling patient-level or aggregated data, statistical analysis plans, consideration of methodological differences between centres or registries, estimation of sample size, etc</w:t>
      </w:r>
      <w:r w:rsidR="00131214">
        <w:rPr>
          <w:sz w:val="18"/>
          <w:szCs w:val="18"/>
          <w:lang w:val="en-GB"/>
        </w:rPr>
        <w:t>.;</w:t>
      </w:r>
    </w:p>
    <w:p w:rsidR="00AD4CBC" w:rsidRPr="0029175B" w:rsidRDefault="00D64049" w:rsidP="00AD4CBC">
      <w:pPr>
        <w:pStyle w:val="Default"/>
        <w:numPr>
          <w:ilvl w:val="0"/>
          <w:numId w:val="19"/>
        </w:numPr>
        <w:spacing w:after="140" w:line="280" w:lineRule="exact"/>
        <w:rPr>
          <w:sz w:val="18"/>
          <w:szCs w:val="18"/>
          <w:lang w:val="en-GB"/>
        </w:rPr>
      </w:pPr>
      <w:r w:rsidRPr="0029175B">
        <w:rPr>
          <w:sz w:val="18"/>
          <w:szCs w:val="18"/>
          <w:lang w:val="en-GB"/>
        </w:rPr>
        <w:t>a support function for ethical aspects of the requests such as data ownership, data protection, scientific independence, compliance with the informed consent system in place, acceptability of the proposed publication process, etc</w:t>
      </w:r>
      <w:r w:rsidR="00A15914">
        <w:rPr>
          <w:sz w:val="18"/>
          <w:szCs w:val="18"/>
          <w:lang w:val="en-GB"/>
        </w:rPr>
        <w:t>.;</w:t>
      </w:r>
    </w:p>
    <w:p w:rsidR="00AD4CBC" w:rsidRPr="0029175B" w:rsidRDefault="00D64049" w:rsidP="00AD4CBC">
      <w:pPr>
        <w:pStyle w:val="Default"/>
        <w:numPr>
          <w:ilvl w:val="0"/>
          <w:numId w:val="19"/>
        </w:numPr>
        <w:spacing w:after="140" w:line="280" w:lineRule="exact"/>
        <w:rPr>
          <w:rFonts w:eastAsia="Verdana"/>
          <w:bCs/>
          <w:sz w:val="18"/>
          <w:szCs w:val="18"/>
          <w:lang w:val="en-GB" w:eastAsia="en-GB"/>
        </w:rPr>
      </w:pPr>
      <w:r w:rsidRPr="0029175B">
        <w:rPr>
          <w:rFonts w:eastAsia="Verdana"/>
          <w:bCs/>
          <w:sz w:val="18"/>
          <w:szCs w:val="18"/>
          <w:lang w:val="en-GB" w:eastAsia="en-GB"/>
        </w:rPr>
        <w:t>a template for a research contract between the registry and external stakeholders</w:t>
      </w:r>
      <w:r w:rsidR="00DC4E8A" w:rsidRPr="0029175B">
        <w:rPr>
          <w:rFonts w:eastAsia="Verdana"/>
          <w:bCs/>
          <w:sz w:val="18"/>
          <w:szCs w:val="18"/>
          <w:lang w:val="en-GB" w:eastAsia="en-GB"/>
        </w:rPr>
        <w:t>.</w:t>
      </w:r>
    </w:p>
    <w:p w:rsidR="00783292" w:rsidRPr="009A6DF3" w:rsidRDefault="00D64049" w:rsidP="00783292">
      <w:pPr>
        <w:pStyle w:val="Heading4Agency"/>
      </w:pPr>
      <w:bookmarkStart w:id="103" w:name="_Toc528934945"/>
      <w:r w:rsidRPr="009A6DF3">
        <w:t>Role of pharmaceutical companies</w:t>
      </w:r>
      <w:bookmarkEnd w:id="103"/>
    </w:p>
    <w:p w:rsidR="00AD4CBC" w:rsidRPr="0029175B" w:rsidRDefault="00D64049" w:rsidP="00DC4E8A">
      <w:pPr>
        <w:pStyle w:val="Default"/>
        <w:spacing w:after="140" w:line="280" w:lineRule="exact"/>
        <w:contextualSpacing/>
        <w:rPr>
          <w:rFonts w:eastAsia="Verdana"/>
          <w:bCs/>
          <w:sz w:val="18"/>
          <w:szCs w:val="18"/>
          <w:lang w:val="en-GB" w:eastAsia="en-GB"/>
        </w:rPr>
      </w:pPr>
      <w:r w:rsidRPr="009A6DF3">
        <w:rPr>
          <w:rFonts w:eastAsia="Verdana"/>
          <w:bCs/>
          <w:sz w:val="18"/>
          <w:szCs w:val="18"/>
          <w:lang w:val="en-GB" w:eastAsia="en-GB"/>
        </w:rPr>
        <w:t>Pharmaceutical companies could also support early consideration of the feasibility and appropriateness of using a</w:t>
      </w:r>
      <w:r w:rsidRPr="0029175B">
        <w:rPr>
          <w:rFonts w:eastAsia="Verdana"/>
          <w:bCs/>
          <w:sz w:val="18"/>
          <w:szCs w:val="18"/>
          <w:lang w:val="en-GB" w:eastAsia="en-GB"/>
        </w:rPr>
        <w:t xml:space="preserve"> disease registry for the post-authorisation monitoring of their products. Their activities could include:</w:t>
      </w:r>
    </w:p>
    <w:p w:rsidR="00AD4CBC" w:rsidRPr="0029175B" w:rsidRDefault="00D64049" w:rsidP="00DC4E8A">
      <w:pPr>
        <w:pStyle w:val="BodytextAgency"/>
        <w:numPr>
          <w:ilvl w:val="0"/>
          <w:numId w:val="21"/>
        </w:numPr>
        <w:spacing w:line="280" w:lineRule="exact"/>
        <w:ind w:left="714" w:hanging="357"/>
      </w:pPr>
      <w:r>
        <w:t>t</w:t>
      </w:r>
      <w:r w:rsidR="00312FF6" w:rsidRPr="0029175B">
        <w:t xml:space="preserve">o understand </w:t>
      </w:r>
      <w:r w:rsidR="00A15914">
        <w:t xml:space="preserve">before or at </w:t>
      </w:r>
      <w:r w:rsidR="00312FF6" w:rsidRPr="0029175B">
        <w:t>an early stage of the authorisation application process the regulatory data requirements that are likely to arise during the application process especially in planning for post marketing surveillance given</w:t>
      </w:r>
      <w:r w:rsidR="00720F77">
        <w:t xml:space="preserve"> e.g. limited exposure to the drug in rare diseases or</w:t>
      </w:r>
      <w:r w:rsidR="00312FF6" w:rsidRPr="0029175B">
        <w:t xml:space="preserve"> the prolonged duration of follow-up that is required for some products</w:t>
      </w:r>
      <w:r>
        <w:t>;</w:t>
      </w:r>
    </w:p>
    <w:p w:rsidR="00AD4CBC" w:rsidRPr="0029175B" w:rsidRDefault="00D64049" w:rsidP="00DC4E8A">
      <w:pPr>
        <w:pStyle w:val="BodytextAgency"/>
        <w:numPr>
          <w:ilvl w:val="0"/>
          <w:numId w:val="21"/>
        </w:numPr>
        <w:spacing w:line="280" w:lineRule="exact"/>
        <w:ind w:left="714" w:hanging="357"/>
      </w:pPr>
      <w:r>
        <w:t>t</w:t>
      </w:r>
      <w:r w:rsidR="00312FF6" w:rsidRPr="0029175B">
        <w:t xml:space="preserve">o initiate discussions with </w:t>
      </w:r>
      <w:r w:rsidR="005C5014">
        <w:t xml:space="preserve">disease </w:t>
      </w:r>
      <w:r w:rsidR="005C5014" w:rsidRPr="0029175B">
        <w:t>registr</w:t>
      </w:r>
      <w:r w:rsidR="005C5014">
        <w:t>y coordinators</w:t>
      </w:r>
      <w:r w:rsidR="005C5014" w:rsidRPr="0029175B">
        <w:t xml:space="preserve"> </w:t>
      </w:r>
      <w:r w:rsidR="00312FF6" w:rsidRPr="0029175B">
        <w:t>and regulators before</w:t>
      </w:r>
      <w:r w:rsidR="00E813C5">
        <w:t xml:space="preserve"> –</w:t>
      </w:r>
      <w:r w:rsidR="002A354A">
        <w:t>using the</w:t>
      </w:r>
      <w:r w:rsidR="00E813C5">
        <w:t xml:space="preserve"> scientific advice procedure-</w:t>
      </w:r>
      <w:r w:rsidR="00312FF6" w:rsidRPr="0029175B">
        <w:t xml:space="preserve"> or at an early stage of a marketing authorisation application on the relevance and adequacy of one or several existing </w:t>
      </w:r>
      <w:r w:rsidR="00127F49" w:rsidRPr="0029175B">
        <w:t xml:space="preserve">patient </w:t>
      </w:r>
      <w:r w:rsidR="00312FF6" w:rsidRPr="0029175B">
        <w:t>disease registries for the long-term monitoring of their specific product</w:t>
      </w:r>
      <w:r>
        <w:t>;</w:t>
      </w:r>
    </w:p>
    <w:p w:rsidR="00AD4CBC" w:rsidRPr="0029175B" w:rsidRDefault="00D64049" w:rsidP="00DC4E8A">
      <w:pPr>
        <w:pStyle w:val="BodytextAgency"/>
        <w:numPr>
          <w:ilvl w:val="0"/>
          <w:numId w:val="21"/>
        </w:numPr>
        <w:spacing w:line="280" w:lineRule="exact"/>
        <w:ind w:left="714" w:hanging="357"/>
      </w:pPr>
      <w:r>
        <w:t>t</w:t>
      </w:r>
      <w:r w:rsidR="00312FF6" w:rsidRPr="0029175B">
        <w:t xml:space="preserve">o have an in-depth understanding of the extent and detail of data available in patient </w:t>
      </w:r>
      <w:r w:rsidR="00127F49" w:rsidRPr="0029175B">
        <w:t xml:space="preserve">disease </w:t>
      </w:r>
      <w:r w:rsidR="00312FF6" w:rsidRPr="0029175B">
        <w:t>registries when planning registry-b</w:t>
      </w:r>
      <w:r w:rsidR="00DC4E8A" w:rsidRPr="0029175B">
        <w:t>ased post-authorisation studies</w:t>
      </w:r>
      <w:r>
        <w:t>;</w:t>
      </w:r>
    </w:p>
    <w:p w:rsidR="00AD4CBC" w:rsidRPr="0029175B" w:rsidRDefault="00D64049" w:rsidP="00DC4E8A">
      <w:pPr>
        <w:pStyle w:val="BodytextAgency"/>
        <w:numPr>
          <w:ilvl w:val="0"/>
          <w:numId w:val="21"/>
        </w:numPr>
        <w:spacing w:line="280" w:lineRule="exact"/>
        <w:ind w:left="714" w:hanging="357"/>
      </w:pPr>
      <w:r>
        <w:t>t</w:t>
      </w:r>
      <w:r w:rsidR="00312FF6" w:rsidRPr="0029175B">
        <w:t>o develop a preliminary study protocol for post-authorisation studies of any new product and explore with the registry</w:t>
      </w:r>
      <w:r w:rsidR="005C5014">
        <w:t xml:space="preserve"> coordinator</w:t>
      </w:r>
      <w:r w:rsidR="00312FF6" w:rsidRPr="0029175B">
        <w:t xml:space="preserve"> and the regulator how the registry could fulfil the data needs, for example through the Scientific Advice procedure</w:t>
      </w:r>
      <w:r w:rsidR="00E813C5">
        <w:t>; joint study protocols developed by several MAHs of products of the same therapeutic class are encouraged</w:t>
      </w:r>
      <w:r>
        <w:t>;</w:t>
      </w:r>
    </w:p>
    <w:p w:rsidR="00AD4CBC" w:rsidRDefault="00D64049" w:rsidP="00DC4E8A">
      <w:pPr>
        <w:pStyle w:val="BodytextAgency"/>
        <w:numPr>
          <w:ilvl w:val="0"/>
          <w:numId w:val="21"/>
        </w:numPr>
        <w:spacing w:line="280" w:lineRule="exact"/>
        <w:ind w:left="714" w:hanging="357"/>
      </w:pPr>
      <w:r>
        <w:t>a</w:t>
      </w:r>
      <w:r w:rsidR="00312FF6" w:rsidRPr="0029175B">
        <w:t xml:space="preserve">s applicable and needed, to liaise with registry </w:t>
      </w:r>
      <w:r w:rsidR="0021646E">
        <w:t>coordinator</w:t>
      </w:r>
      <w:r w:rsidR="0021646E" w:rsidRPr="0029175B">
        <w:t xml:space="preserve">s </w:t>
      </w:r>
      <w:r w:rsidR="00312FF6" w:rsidRPr="0029175B">
        <w:t>to discuss means</w:t>
      </w:r>
      <w:r w:rsidR="00A15914">
        <w:t xml:space="preserve"> (including </w:t>
      </w:r>
      <w:r w:rsidR="00BA4002">
        <w:t xml:space="preserve">additional funding) </w:t>
      </w:r>
      <w:r w:rsidR="00312FF6" w:rsidRPr="0029175B">
        <w:t>to increase data quality control</w:t>
      </w:r>
      <w:r w:rsidR="0077269A">
        <w:t>, to support modifications of an existing registry</w:t>
      </w:r>
      <w:r w:rsidR="00312FF6" w:rsidRPr="0029175B">
        <w:t xml:space="preserve"> </w:t>
      </w:r>
      <w:r w:rsidR="004275C0">
        <w:t xml:space="preserve">or </w:t>
      </w:r>
      <w:r w:rsidR="0077269A">
        <w:t xml:space="preserve">to meet </w:t>
      </w:r>
      <w:r w:rsidR="004275C0">
        <w:t xml:space="preserve">other requirements </w:t>
      </w:r>
      <w:r w:rsidR="00312FF6" w:rsidRPr="0029175B">
        <w:t>to comply with their regulatory obligations.</w:t>
      </w:r>
    </w:p>
    <w:p w:rsidR="00F54E38" w:rsidRDefault="00D64049" w:rsidP="00F54E38">
      <w:pPr>
        <w:pStyle w:val="Heading4Agency"/>
      </w:pPr>
      <w:bookmarkStart w:id="104" w:name="_Toc528934946"/>
      <w:r>
        <w:t>Role of regulatory authorities</w:t>
      </w:r>
      <w:bookmarkEnd w:id="104"/>
    </w:p>
    <w:p w:rsidR="00D975E1" w:rsidRDefault="00D64049" w:rsidP="00F54E38">
      <w:pPr>
        <w:spacing w:after="140" w:line="280" w:lineRule="exact"/>
      </w:pPr>
      <w:r>
        <w:t>To some extent pharmaceutical companies</w:t>
      </w:r>
      <w:r w:rsidR="00242FA8">
        <w:t xml:space="preserve"> and regulatory authorities have</w:t>
      </w:r>
      <w:r>
        <w:t xml:space="preserve"> complementary roles</w:t>
      </w:r>
      <w:r w:rsidR="00D00467">
        <w:t xml:space="preserve"> in relation to </w:t>
      </w:r>
      <w:r w:rsidR="005C5014">
        <w:t xml:space="preserve">disease </w:t>
      </w:r>
      <w:r w:rsidR="00D00467">
        <w:t>registries</w:t>
      </w:r>
      <w:r>
        <w:t xml:space="preserve">. Their common objective is to make best use of disease registries to support medicines evaluation and to discuss at an early stage of the marketing authorisation </w:t>
      </w:r>
      <w:r w:rsidR="004275C0">
        <w:t xml:space="preserve">application </w:t>
      </w:r>
      <w:r>
        <w:t>whether and which registries can provide adequate information</w:t>
      </w:r>
      <w:r w:rsidR="00C74851">
        <w:t>.</w:t>
      </w:r>
      <w:r w:rsidR="00A93304">
        <w:t xml:space="preserve"> </w:t>
      </w:r>
    </w:p>
    <w:p w:rsidR="00F54E38" w:rsidRPr="00E47430" w:rsidRDefault="00D64049" w:rsidP="00F54E38">
      <w:pPr>
        <w:spacing w:after="140" w:line="280" w:lineRule="exact"/>
      </w:pPr>
      <w:r w:rsidRPr="004275C0">
        <w:t xml:space="preserve">Specific roles </w:t>
      </w:r>
      <w:r w:rsidR="005C5014">
        <w:t xml:space="preserve">may </w:t>
      </w:r>
      <w:r w:rsidRPr="004275C0">
        <w:t>include:</w:t>
      </w:r>
    </w:p>
    <w:p w:rsidR="00F54E38" w:rsidRPr="001E568B" w:rsidRDefault="00D64049" w:rsidP="006E7959">
      <w:pPr>
        <w:pStyle w:val="Listenabsatz"/>
        <w:numPr>
          <w:ilvl w:val="0"/>
          <w:numId w:val="35"/>
        </w:numPr>
        <w:spacing w:after="140" w:line="280" w:lineRule="exact"/>
        <w:contextualSpacing w:val="0"/>
        <w:rPr>
          <w:rFonts w:ascii="Verdana" w:hAnsi="Verdana"/>
          <w:sz w:val="18"/>
          <w:szCs w:val="18"/>
        </w:rPr>
      </w:pPr>
      <w:r>
        <w:rPr>
          <w:rFonts w:ascii="Verdana" w:hAnsi="Verdana"/>
          <w:sz w:val="18"/>
          <w:szCs w:val="18"/>
        </w:rPr>
        <w:t>t</w:t>
      </w:r>
      <w:r w:rsidR="00312FF6" w:rsidRPr="00A93304">
        <w:rPr>
          <w:rFonts w:ascii="Verdana" w:hAnsi="Verdana"/>
          <w:sz w:val="18"/>
          <w:szCs w:val="18"/>
        </w:rPr>
        <w:t xml:space="preserve">o identify relevant patient </w:t>
      </w:r>
      <w:r w:rsidR="003C1138">
        <w:rPr>
          <w:rFonts w:ascii="Verdana" w:hAnsi="Verdana"/>
          <w:sz w:val="18"/>
          <w:szCs w:val="18"/>
        </w:rPr>
        <w:t xml:space="preserve">disease </w:t>
      </w:r>
      <w:r w:rsidR="00312FF6" w:rsidRPr="00A93304">
        <w:rPr>
          <w:rFonts w:ascii="Verdana" w:hAnsi="Verdana"/>
          <w:sz w:val="18"/>
          <w:szCs w:val="18"/>
        </w:rPr>
        <w:t xml:space="preserve">registries in the pre-submission process or early application process and gather information on which data are routinely collected </w:t>
      </w:r>
      <w:r w:rsidR="00131214">
        <w:rPr>
          <w:rFonts w:ascii="Verdana" w:hAnsi="Verdana"/>
          <w:sz w:val="18"/>
          <w:szCs w:val="18"/>
        </w:rPr>
        <w:t>or</w:t>
      </w:r>
      <w:r w:rsidR="00312FF6" w:rsidRPr="00A93304">
        <w:rPr>
          <w:rFonts w:ascii="Verdana" w:hAnsi="Verdana"/>
          <w:sz w:val="18"/>
          <w:szCs w:val="18"/>
        </w:rPr>
        <w:t xml:space="preserve"> can be </w:t>
      </w:r>
      <w:r w:rsidR="00131214">
        <w:rPr>
          <w:rFonts w:ascii="Verdana" w:hAnsi="Verdana"/>
          <w:sz w:val="18"/>
          <w:szCs w:val="18"/>
        </w:rPr>
        <w:t xml:space="preserve">additionally </w:t>
      </w:r>
      <w:r>
        <w:rPr>
          <w:rFonts w:ascii="Verdana" w:hAnsi="Verdana"/>
          <w:sz w:val="18"/>
          <w:szCs w:val="18"/>
        </w:rPr>
        <w:t>collected for specific products;</w:t>
      </w:r>
    </w:p>
    <w:p w:rsidR="00F54E38" w:rsidRPr="00A93304" w:rsidRDefault="00D64049" w:rsidP="006E7959">
      <w:pPr>
        <w:pStyle w:val="Listenabsatz"/>
        <w:numPr>
          <w:ilvl w:val="0"/>
          <w:numId w:val="35"/>
        </w:numPr>
        <w:spacing w:after="140" w:line="280" w:lineRule="exact"/>
        <w:contextualSpacing w:val="0"/>
        <w:rPr>
          <w:rFonts w:ascii="Verdana" w:hAnsi="Verdana"/>
          <w:sz w:val="18"/>
          <w:szCs w:val="18"/>
        </w:rPr>
      </w:pPr>
      <w:r>
        <w:rPr>
          <w:rFonts w:ascii="Verdana" w:hAnsi="Verdana"/>
          <w:sz w:val="18"/>
          <w:szCs w:val="18"/>
        </w:rPr>
        <w:t>t</w:t>
      </w:r>
      <w:r w:rsidR="00312FF6" w:rsidRPr="001E568B">
        <w:rPr>
          <w:rFonts w:ascii="Verdana" w:hAnsi="Verdana"/>
          <w:sz w:val="18"/>
          <w:szCs w:val="18"/>
        </w:rPr>
        <w:t>o</w:t>
      </w:r>
      <w:r w:rsidR="00312FF6" w:rsidRPr="00D62F0E">
        <w:rPr>
          <w:rFonts w:ascii="Verdana" w:hAnsi="Verdana"/>
          <w:sz w:val="18"/>
          <w:szCs w:val="18"/>
        </w:rPr>
        <w:t xml:space="preserve"> support interactions between MAAs/MAHs, registry </w:t>
      </w:r>
      <w:r w:rsidR="004923DD" w:rsidRPr="007520C8">
        <w:rPr>
          <w:rFonts w:ascii="Verdana" w:hAnsi="Verdana"/>
          <w:sz w:val="18"/>
          <w:szCs w:val="18"/>
        </w:rPr>
        <w:t xml:space="preserve">coordinators </w:t>
      </w:r>
      <w:r w:rsidR="00312FF6" w:rsidRPr="007520C8">
        <w:rPr>
          <w:rFonts w:ascii="Verdana" w:hAnsi="Verdana"/>
          <w:sz w:val="18"/>
          <w:szCs w:val="18"/>
        </w:rPr>
        <w:t>and regulators to agree on data elements, collection methodologies, timelines and protocol</w:t>
      </w:r>
      <w:r w:rsidR="00BA4002" w:rsidRPr="007520C8">
        <w:rPr>
          <w:rFonts w:ascii="Verdana" w:hAnsi="Verdana"/>
          <w:sz w:val="18"/>
          <w:szCs w:val="18"/>
        </w:rPr>
        <w:t>s</w:t>
      </w:r>
      <w:r>
        <w:rPr>
          <w:rFonts w:ascii="Verdana" w:hAnsi="Verdana"/>
          <w:sz w:val="18"/>
          <w:szCs w:val="18"/>
        </w:rPr>
        <w:t>;</w:t>
      </w:r>
    </w:p>
    <w:p w:rsidR="00F54E38" w:rsidRPr="001E568B" w:rsidRDefault="00D64049" w:rsidP="006E7959">
      <w:pPr>
        <w:pStyle w:val="Listenabsatz"/>
        <w:numPr>
          <w:ilvl w:val="0"/>
          <w:numId w:val="35"/>
        </w:numPr>
        <w:spacing w:after="140" w:line="280" w:lineRule="exact"/>
        <w:contextualSpacing w:val="0"/>
        <w:rPr>
          <w:rFonts w:ascii="Verdana" w:hAnsi="Verdana"/>
          <w:sz w:val="18"/>
          <w:szCs w:val="18"/>
        </w:rPr>
      </w:pPr>
      <w:r>
        <w:rPr>
          <w:rFonts w:ascii="Verdana" w:hAnsi="Verdana"/>
          <w:sz w:val="18"/>
          <w:szCs w:val="18"/>
        </w:rPr>
        <w:lastRenderedPageBreak/>
        <w:t>t</w:t>
      </w:r>
      <w:r w:rsidR="00312FF6" w:rsidRPr="00A93304">
        <w:rPr>
          <w:rFonts w:ascii="Verdana" w:hAnsi="Verdana"/>
          <w:sz w:val="18"/>
          <w:szCs w:val="18"/>
        </w:rPr>
        <w:t>o support quality management by describing expectations as regards data quality and providing formal scientific advice or qua</w:t>
      </w:r>
      <w:r>
        <w:rPr>
          <w:rFonts w:ascii="Verdana" w:hAnsi="Verdana"/>
          <w:sz w:val="18"/>
          <w:szCs w:val="18"/>
        </w:rPr>
        <w:t>lification opinion if requested;</w:t>
      </w:r>
    </w:p>
    <w:p w:rsidR="000211DF" w:rsidRPr="00225E87" w:rsidRDefault="00D64049" w:rsidP="006E7959">
      <w:pPr>
        <w:pStyle w:val="Listenabsatz"/>
        <w:numPr>
          <w:ilvl w:val="0"/>
          <w:numId w:val="35"/>
        </w:numPr>
        <w:spacing w:after="140" w:line="280" w:lineRule="exact"/>
        <w:contextualSpacing w:val="0"/>
        <w:rPr>
          <w:rFonts w:ascii="Verdana" w:hAnsi="Verdana"/>
          <w:sz w:val="18"/>
          <w:szCs w:val="18"/>
        </w:rPr>
      </w:pPr>
      <w:r>
        <w:rPr>
          <w:rFonts w:ascii="Verdana" w:hAnsi="Verdana"/>
          <w:sz w:val="18"/>
          <w:szCs w:val="18"/>
        </w:rPr>
        <w:t>t</w:t>
      </w:r>
      <w:r w:rsidR="00312FF6" w:rsidRPr="00452111">
        <w:rPr>
          <w:rFonts w:ascii="Verdana" w:hAnsi="Verdana"/>
          <w:sz w:val="18"/>
          <w:szCs w:val="18"/>
        </w:rPr>
        <w:t xml:space="preserve">o provide </w:t>
      </w:r>
      <w:r w:rsidR="004275C0" w:rsidRPr="00452111">
        <w:rPr>
          <w:rFonts w:ascii="Verdana" w:hAnsi="Verdana"/>
          <w:sz w:val="18"/>
          <w:szCs w:val="18"/>
        </w:rPr>
        <w:t xml:space="preserve">methodological </w:t>
      </w:r>
      <w:r w:rsidR="00312FF6" w:rsidRPr="003B1B84">
        <w:rPr>
          <w:rFonts w:ascii="Verdana" w:hAnsi="Verdana"/>
          <w:sz w:val="18"/>
          <w:szCs w:val="18"/>
        </w:rPr>
        <w:t>guidance on core data elements, terminologies, data quality, data collection and analysis for specific disease registries, upon request from registry coordinators and ph</w:t>
      </w:r>
      <w:r>
        <w:rPr>
          <w:rFonts w:ascii="Verdana" w:hAnsi="Verdana"/>
          <w:sz w:val="18"/>
          <w:szCs w:val="18"/>
        </w:rPr>
        <w:t>armaceutical companies.</w:t>
      </w:r>
    </w:p>
    <w:p w:rsidR="000211DF" w:rsidRPr="00A93304" w:rsidRDefault="00D64049" w:rsidP="006E7959">
      <w:pPr>
        <w:spacing w:after="140" w:line="280" w:lineRule="exact"/>
      </w:pPr>
      <w:r>
        <w:t>Discussions between regulatory authorities and MAAs/MAHs c</w:t>
      </w:r>
      <w:r w:rsidR="002A354A">
        <w:t>an</w:t>
      </w:r>
      <w:r>
        <w:t xml:space="preserve"> take place under the umbrella of requests for scientific advice. At the EMA level, </w:t>
      </w:r>
      <w:r w:rsidR="00B63783" w:rsidRPr="00A93304">
        <w:rPr>
          <w:rFonts w:cs="Calibri"/>
        </w:rPr>
        <w:t>existing regulatory procedures</w:t>
      </w:r>
      <w:r>
        <w:rPr>
          <w:rFonts w:cs="Calibri"/>
        </w:rPr>
        <w:t xml:space="preserve"> also</w:t>
      </w:r>
      <w:r w:rsidR="00B63783" w:rsidRPr="00A93304">
        <w:rPr>
          <w:rFonts w:cs="Calibri"/>
        </w:rPr>
        <w:t xml:space="preserve"> </w:t>
      </w:r>
      <w:r>
        <w:rPr>
          <w:rFonts w:cs="Calibri"/>
        </w:rPr>
        <w:t>include</w:t>
      </w:r>
      <w:r w:rsidR="00B63783" w:rsidRPr="00A93304">
        <w:rPr>
          <w:rFonts w:cs="Calibri"/>
        </w:rPr>
        <w:t xml:space="preserve"> the Innovation Task Force, the EMA Qualification procedure or the parallel EMA/HTA Scientific Advice </w:t>
      </w:r>
      <w:r w:rsidR="00BA4002" w:rsidRPr="00A93304">
        <w:rPr>
          <w:rFonts w:cs="Calibri"/>
        </w:rPr>
        <w:t xml:space="preserve">in </w:t>
      </w:r>
      <w:r w:rsidR="00B63783" w:rsidRPr="00A93304">
        <w:rPr>
          <w:rFonts w:cs="Calibri"/>
        </w:rPr>
        <w:t xml:space="preserve">support </w:t>
      </w:r>
      <w:r w:rsidR="00BA4002" w:rsidRPr="00A93304">
        <w:rPr>
          <w:rFonts w:cs="Calibri"/>
        </w:rPr>
        <w:t xml:space="preserve">to </w:t>
      </w:r>
      <w:r w:rsidR="00B63783" w:rsidRPr="00A93304">
        <w:rPr>
          <w:rFonts w:cs="Calibri"/>
        </w:rPr>
        <w:t>high quality data.</w:t>
      </w:r>
    </w:p>
    <w:p w:rsidR="00D57097" w:rsidRPr="0029175B" w:rsidRDefault="00D64049" w:rsidP="00542E9E">
      <w:pPr>
        <w:pStyle w:val="Heading3Agency"/>
      </w:pPr>
      <w:bookmarkStart w:id="105" w:name="_Toc527730461"/>
      <w:bookmarkStart w:id="106" w:name="_Toc527799593"/>
      <w:bookmarkStart w:id="107" w:name="_Toc527799772"/>
      <w:bookmarkStart w:id="108" w:name="_Toc528934947"/>
      <w:bookmarkEnd w:id="105"/>
      <w:bookmarkEnd w:id="106"/>
      <w:bookmarkEnd w:id="107"/>
      <w:r w:rsidRPr="0029175B">
        <w:t>Data ownership and intellectual property</w:t>
      </w:r>
      <w:bookmarkEnd w:id="108"/>
    </w:p>
    <w:p w:rsidR="00127F49" w:rsidRPr="0029175B" w:rsidRDefault="00D64049" w:rsidP="00D57097">
      <w:pPr>
        <w:pStyle w:val="Default"/>
        <w:spacing w:after="140" w:line="280" w:lineRule="exact"/>
        <w:rPr>
          <w:rFonts w:eastAsia="Verdana"/>
          <w:bCs/>
          <w:sz w:val="18"/>
          <w:szCs w:val="18"/>
          <w:lang w:val="en-GB" w:eastAsia="en-GB"/>
        </w:rPr>
      </w:pPr>
      <w:r>
        <w:rPr>
          <w:rFonts w:eastAsia="Verdana"/>
          <w:bCs/>
          <w:sz w:val="18"/>
          <w:szCs w:val="18"/>
          <w:lang w:val="en-GB" w:eastAsia="en-GB"/>
        </w:rPr>
        <w:t>P</w:t>
      </w:r>
      <w:r w:rsidRPr="0029175B">
        <w:rPr>
          <w:rFonts w:eastAsia="Verdana"/>
          <w:bCs/>
          <w:sz w:val="18"/>
          <w:szCs w:val="18"/>
          <w:lang w:val="en-GB" w:eastAsia="en-GB"/>
        </w:rPr>
        <w:t>atients</w:t>
      </w:r>
      <w:r w:rsidR="00006109">
        <w:rPr>
          <w:rFonts w:eastAsia="Verdana"/>
          <w:bCs/>
          <w:sz w:val="18"/>
          <w:szCs w:val="18"/>
          <w:lang w:val="en-GB" w:eastAsia="en-GB"/>
        </w:rPr>
        <w:t xml:space="preserve"> remain in the control of the use of t</w:t>
      </w:r>
      <w:r w:rsidR="00A25917">
        <w:rPr>
          <w:rFonts w:eastAsia="Verdana"/>
          <w:bCs/>
          <w:sz w:val="18"/>
          <w:szCs w:val="18"/>
          <w:lang w:val="en-GB" w:eastAsia="en-GB"/>
        </w:rPr>
        <w:t>h</w:t>
      </w:r>
      <w:r w:rsidR="00006109">
        <w:rPr>
          <w:rFonts w:eastAsia="Verdana"/>
          <w:bCs/>
          <w:sz w:val="18"/>
          <w:szCs w:val="18"/>
          <w:lang w:val="en-GB" w:eastAsia="en-GB"/>
        </w:rPr>
        <w:t>eir data. They</w:t>
      </w:r>
      <w:r w:rsidRPr="0029175B">
        <w:rPr>
          <w:rFonts w:eastAsia="Verdana"/>
          <w:bCs/>
          <w:sz w:val="18"/>
          <w:szCs w:val="18"/>
          <w:lang w:val="en-GB" w:eastAsia="en-GB"/>
        </w:rPr>
        <w:t xml:space="preserve"> may or may not consent for their use for clinical or research purpose and </w:t>
      </w:r>
      <w:r w:rsidR="00006109">
        <w:rPr>
          <w:rFonts w:eastAsia="Verdana"/>
          <w:bCs/>
          <w:sz w:val="18"/>
          <w:szCs w:val="18"/>
          <w:lang w:val="en-GB" w:eastAsia="en-GB"/>
        </w:rPr>
        <w:t xml:space="preserve">they </w:t>
      </w:r>
      <w:r w:rsidRPr="0029175B">
        <w:rPr>
          <w:rFonts w:eastAsia="Verdana"/>
          <w:bCs/>
          <w:sz w:val="18"/>
          <w:szCs w:val="18"/>
          <w:lang w:val="en-GB" w:eastAsia="en-GB"/>
        </w:rPr>
        <w:t xml:space="preserve">may withdraw their </w:t>
      </w:r>
      <w:r w:rsidR="004E446F" w:rsidRPr="0029175B">
        <w:rPr>
          <w:rFonts w:eastAsia="Verdana"/>
          <w:bCs/>
          <w:sz w:val="18"/>
          <w:szCs w:val="18"/>
          <w:lang w:val="en-GB" w:eastAsia="en-GB"/>
        </w:rPr>
        <w:t xml:space="preserve">previous </w:t>
      </w:r>
      <w:r w:rsidRPr="0029175B">
        <w:rPr>
          <w:rFonts w:eastAsia="Verdana"/>
          <w:bCs/>
          <w:sz w:val="18"/>
          <w:szCs w:val="18"/>
          <w:lang w:val="en-GB" w:eastAsia="en-GB"/>
        </w:rPr>
        <w:t>consent.</w:t>
      </w:r>
    </w:p>
    <w:p w:rsidR="00D57097" w:rsidRPr="0029175B" w:rsidRDefault="00D64049" w:rsidP="00D57097">
      <w:pPr>
        <w:pStyle w:val="Default"/>
        <w:spacing w:after="140" w:line="280" w:lineRule="exact"/>
        <w:rPr>
          <w:rFonts w:eastAsia="Verdana"/>
          <w:bCs/>
          <w:sz w:val="18"/>
          <w:szCs w:val="18"/>
          <w:lang w:val="en-GB" w:eastAsia="en-GB"/>
        </w:rPr>
      </w:pPr>
      <w:r>
        <w:rPr>
          <w:rFonts w:eastAsia="Verdana"/>
          <w:bCs/>
          <w:sz w:val="18"/>
          <w:szCs w:val="18"/>
          <w:lang w:val="en-GB" w:eastAsia="en-GB"/>
        </w:rPr>
        <w:t>It is</w:t>
      </w:r>
      <w:r w:rsidR="00950368" w:rsidRPr="0029175B">
        <w:rPr>
          <w:rFonts w:eastAsia="Verdana"/>
          <w:bCs/>
          <w:sz w:val="18"/>
          <w:szCs w:val="18"/>
          <w:lang w:val="en-GB" w:eastAsia="en-GB"/>
        </w:rPr>
        <w:t xml:space="preserve"> the responsibility of local centres and registry coordinators to use and share the data in accordance </w:t>
      </w:r>
      <w:r w:rsidRPr="00944CD8">
        <w:rPr>
          <w:rFonts w:eastAsia="Verdana"/>
          <w:bCs/>
          <w:sz w:val="18"/>
          <w:szCs w:val="18"/>
          <w:lang w:val="en-GB" w:eastAsia="en-GB"/>
        </w:rPr>
        <w:t>with the EU General Data Protection Regulation (GDPR</w:t>
      </w:r>
      <w:r>
        <w:rPr>
          <w:rFonts w:eastAsia="Verdana"/>
          <w:bCs/>
          <w:sz w:val="18"/>
          <w:szCs w:val="18"/>
          <w:lang w:val="en-GB" w:eastAsia="en-GB"/>
        </w:rPr>
        <w:t>) and</w:t>
      </w:r>
      <w:r w:rsidR="00950368" w:rsidRPr="0029175B">
        <w:rPr>
          <w:rFonts w:eastAsia="Verdana"/>
          <w:bCs/>
          <w:sz w:val="18"/>
          <w:szCs w:val="18"/>
          <w:lang w:val="en-GB" w:eastAsia="en-GB"/>
        </w:rPr>
        <w:t xml:space="preserve"> the informed consent provided by the patients. In situations where data are shared with MAHs based on a contractual agreement, the research contract should clearly describe the level of access to data, the intellectual property rights arising from the use of the data and the dissemination of the results. In case of specific studies performed by registry investigators and funded fully or partially by MAHs/MAAs, it is recommended to </w:t>
      </w:r>
      <w:r w:rsidR="0012053A" w:rsidRPr="0029175B">
        <w:rPr>
          <w:rFonts w:eastAsia="Verdana"/>
          <w:bCs/>
          <w:sz w:val="18"/>
          <w:szCs w:val="18"/>
          <w:lang w:val="en-GB" w:eastAsia="en-GB"/>
        </w:rPr>
        <w:t>refer</w:t>
      </w:r>
      <w:r w:rsidR="00950368" w:rsidRPr="0029175B">
        <w:rPr>
          <w:rFonts w:eastAsia="Verdana"/>
          <w:bCs/>
          <w:sz w:val="18"/>
          <w:szCs w:val="18"/>
          <w:lang w:val="en-GB" w:eastAsia="en-GB"/>
        </w:rPr>
        <w:t xml:space="preserve"> to the ENCePP Code of Conduct</w:t>
      </w:r>
      <w:r w:rsidR="00DC72AC">
        <w:rPr>
          <w:rFonts w:eastAsia="Verdana"/>
          <w:bCs/>
          <w:sz w:val="18"/>
          <w:szCs w:val="18"/>
          <w:lang w:val="en-GB" w:eastAsia="en-GB"/>
        </w:rPr>
        <w:t xml:space="preserve"> </w:t>
      </w:r>
      <w:r w:rsidR="00DC72AC">
        <w:rPr>
          <w:rFonts w:eastAsia="Verdana"/>
          <w:bCs/>
          <w:sz w:val="18"/>
          <w:szCs w:val="18"/>
          <w:lang w:val="en-GB" w:eastAsia="en-GB"/>
        </w:rPr>
        <w:fldChar w:fldCharType="begin"/>
      </w:r>
      <w:r w:rsidR="005E2E45">
        <w:rPr>
          <w:rFonts w:eastAsia="Verdana"/>
          <w:bCs/>
          <w:sz w:val="18"/>
          <w:szCs w:val="18"/>
          <w:lang w:val="en-GB" w:eastAsia="en-GB"/>
        </w:rPr>
        <w:instrText xml:space="preserve"> ADDIN ZOTERO_ITEM CSL_CITATION {"citationID":"a1pj9qgdld","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DC72AC">
        <w:rPr>
          <w:rFonts w:eastAsia="Verdana"/>
          <w:bCs/>
          <w:sz w:val="18"/>
          <w:szCs w:val="18"/>
          <w:lang w:val="en-GB" w:eastAsia="en-GB"/>
        </w:rPr>
        <w:fldChar w:fldCharType="separate"/>
      </w:r>
      <w:r w:rsidR="005E2E45" w:rsidRPr="005E2E45">
        <w:rPr>
          <w:sz w:val="18"/>
        </w:rPr>
        <w:t>(15)</w:t>
      </w:r>
      <w:r w:rsidR="00DC72AC">
        <w:rPr>
          <w:rFonts w:eastAsia="Verdana"/>
          <w:bCs/>
          <w:sz w:val="18"/>
          <w:szCs w:val="18"/>
          <w:lang w:val="en-GB" w:eastAsia="en-GB"/>
        </w:rPr>
        <w:fldChar w:fldCharType="end"/>
      </w:r>
      <w:r w:rsidR="0012053A" w:rsidRPr="0029175B">
        <w:rPr>
          <w:rFonts w:eastAsia="Verdana"/>
          <w:bCs/>
          <w:sz w:val="18"/>
          <w:szCs w:val="18"/>
          <w:lang w:val="en-GB" w:eastAsia="en-GB"/>
        </w:rPr>
        <w:t xml:space="preserve"> (and ADVANCE Code of Conduct for vaccines</w:t>
      </w:r>
      <w:r w:rsidR="00DC72AC">
        <w:rPr>
          <w:rFonts w:eastAsia="Verdana"/>
          <w:bCs/>
          <w:sz w:val="18"/>
          <w:szCs w:val="18"/>
          <w:lang w:val="en-GB" w:eastAsia="en-GB"/>
        </w:rPr>
        <w:t xml:space="preserve"> </w:t>
      </w:r>
      <w:r w:rsidR="00DC72AC">
        <w:rPr>
          <w:rFonts w:eastAsia="Verdana"/>
          <w:bCs/>
          <w:sz w:val="18"/>
          <w:szCs w:val="18"/>
          <w:lang w:val="en-GB" w:eastAsia="en-GB"/>
        </w:rPr>
        <w:fldChar w:fldCharType="begin"/>
      </w:r>
      <w:r w:rsidR="00861617">
        <w:rPr>
          <w:rFonts w:eastAsia="Verdana"/>
          <w:bCs/>
          <w:sz w:val="18"/>
          <w:szCs w:val="18"/>
          <w:lang w:val="en-GB" w:eastAsia="en-GB"/>
        </w:rPr>
        <w:instrText xml:space="preserve"> ADDIN ZOTERO_ITEM CSL_CITATION {"citationID":"ar3mndpjop","properties":{"formattedCitation":"(29)","plainCitation":"(29)","dontUpdate":true},"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DC72AC">
        <w:rPr>
          <w:rFonts w:eastAsia="Verdana"/>
          <w:bCs/>
          <w:sz w:val="18"/>
          <w:szCs w:val="18"/>
          <w:lang w:val="en-GB" w:eastAsia="en-GB"/>
        </w:rPr>
        <w:fldChar w:fldCharType="separate"/>
      </w:r>
      <w:r w:rsidR="003039A5" w:rsidRPr="006E7959">
        <w:rPr>
          <w:sz w:val="18"/>
        </w:rPr>
        <w:t>(2</w:t>
      </w:r>
      <w:r w:rsidR="0053115C">
        <w:rPr>
          <w:sz w:val="18"/>
        </w:rPr>
        <w:t>8</w:t>
      </w:r>
      <w:r w:rsidR="003039A5" w:rsidRPr="006E7959">
        <w:rPr>
          <w:sz w:val="18"/>
        </w:rPr>
        <w:t>)</w:t>
      </w:r>
      <w:r w:rsidR="00DC72AC">
        <w:rPr>
          <w:rFonts w:eastAsia="Verdana"/>
          <w:bCs/>
          <w:sz w:val="18"/>
          <w:szCs w:val="18"/>
          <w:lang w:val="en-GB" w:eastAsia="en-GB"/>
        </w:rPr>
        <w:fldChar w:fldCharType="end"/>
      </w:r>
      <w:r w:rsidR="0012053A" w:rsidRPr="0029175B">
        <w:rPr>
          <w:rFonts w:eastAsia="Verdana"/>
          <w:bCs/>
          <w:sz w:val="18"/>
          <w:szCs w:val="18"/>
          <w:lang w:val="en-GB" w:eastAsia="en-GB"/>
        </w:rPr>
        <w:t>)</w:t>
      </w:r>
      <w:r w:rsidR="00950368" w:rsidRPr="0029175B">
        <w:rPr>
          <w:rFonts w:eastAsia="Verdana"/>
          <w:bCs/>
          <w:sz w:val="18"/>
          <w:szCs w:val="18"/>
          <w:lang w:val="en-GB" w:eastAsia="en-GB"/>
        </w:rPr>
        <w:t xml:space="preserve"> in the research contract to ensure scientific independence and transparency, while allowing sharing of unpublished results with regulators and the MAHs/MAAs concerned.</w:t>
      </w:r>
    </w:p>
    <w:p w:rsidR="00AD4CBC" w:rsidRPr="0029175B" w:rsidRDefault="00D64049" w:rsidP="00D57097">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Some r</w:t>
      </w:r>
      <w:r w:rsidR="00D57097" w:rsidRPr="0029175B">
        <w:rPr>
          <w:rFonts w:eastAsia="Verdana"/>
          <w:bCs/>
          <w:sz w:val="18"/>
          <w:szCs w:val="18"/>
          <w:lang w:val="en-GB" w:eastAsia="en-GB"/>
        </w:rPr>
        <w:t xml:space="preserve">egistry </w:t>
      </w:r>
      <w:r w:rsidR="00DE62C5" w:rsidRPr="0029175B">
        <w:rPr>
          <w:rFonts w:eastAsia="Verdana"/>
          <w:bCs/>
          <w:sz w:val="18"/>
          <w:szCs w:val="18"/>
          <w:lang w:val="en-GB" w:eastAsia="en-GB"/>
        </w:rPr>
        <w:t>coordinator</w:t>
      </w:r>
      <w:r w:rsidR="00D57097" w:rsidRPr="0029175B">
        <w:rPr>
          <w:rFonts w:eastAsia="Verdana"/>
          <w:bCs/>
          <w:sz w:val="18"/>
          <w:szCs w:val="18"/>
          <w:lang w:val="en-GB" w:eastAsia="en-GB"/>
        </w:rPr>
        <w:t>s have expressed concerns that unpublished data communicated to regulators or to MAHs in the context of regulatory procedures could be made publicly available through Regulation (EC) No 1049/2001 regardi</w:t>
      </w:r>
      <w:r w:rsidR="0012053A" w:rsidRPr="0029175B">
        <w:rPr>
          <w:rFonts w:eastAsia="Verdana"/>
          <w:bCs/>
          <w:sz w:val="18"/>
          <w:szCs w:val="18"/>
          <w:lang w:val="en-GB" w:eastAsia="en-GB"/>
        </w:rPr>
        <w:t xml:space="preserve">ng public access to documents, </w:t>
      </w:r>
      <w:r w:rsidR="00D57097" w:rsidRPr="0029175B">
        <w:rPr>
          <w:rFonts w:eastAsia="Verdana"/>
          <w:bCs/>
          <w:sz w:val="18"/>
          <w:szCs w:val="18"/>
          <w:lang w:val="en-GB" w:eastAsia="en-GB"/>
        </w:rPr>
        <w:t>thereby undermining their intellectual property rights. However, as highlighted in the EMA policy on access to documents</w:t>
      </w:r>
      <w:r w:rsidR="00E63247" w:rsidRPr="0029175B">
        <w:rPr>
          <w:rFonts w:eastAsia="Verdana"/>
          <w:bCs/>
          <w:sz w:val="18"/>
          <w:szCs w:val="18"/>
          <w:lang w:val="en-GB" w:eastAsia="en-GB"/>
        </w:rPr>
        <w:t xml:space="preserve"> </w:t>
      </w:r>
      <w:r w:rsidR="00E63247" w:rsidRPr="001C0DC2">
        <w:rPr>
          <w:rFonts w:eastAsia="Verdana"/>
          <w:bCs/>
          <w:sz w:val="18"/>
          <w:szCs w:val="18"/>
          <w:lang w:val="en-GB" w:eastAsia="en-GB"/>
        </w:rPr>
        <w:fldChar w:fldCharType="begin"/>
      </w:r>
      <w:r w:rsidR="00861617">
        <w:rPr>
          <w:rFonts w:eastAsia="Verdana"/>
          <w:bCs/>
          <w:sz w:val="18"/>
          <w:szCs w:val="18"/>
          <w:lang w:val="en-GB" w:eastAsia="en-GB"/>
        </w:rPr>
        <w:instrText xml:space="preserve"> ADDIN ZOTERO_ITEM CSL_CITATION {"citationID":"a2p49vcss9u","properties":{"formattedCitation":"(30)","plainCitation":"(30)","dontUpdate":true},"citationItems":[{"id":2291,"uris":["http://zotero.org/users/local/tAKp4fcl/items/9X7PBV7P"],"uri":["http://zotero.org/users/local/tAKp4fcl/items/9X7PBV7P"],"itemData":{"id":2291,"type":"article","title":"European Medicines Agency policy on access to documents. POLICY/0043. EMA/729522/2016","URL":"http://www.ema.europa.eu/docs/en_GB/document_library/Other/2017/02/WC500221814.pdf","author":[{"literal":"European Medicines Agency (EMA)"}],"issued":{"date-parts":[["2017",2,9]]}}}],"schema":"https://github.com/citation-style-language/schema/raw/master/csl-citation.json"} </w:instrText>
      </w:r>
      <w:r w:rsidR="00E63247" w:rsidRPr="001C0DC2">
        <w:rPr>
          <w:rFonts w:eastAsia="Verdana"/>
          <w:bCs/>
          <w:sz w:val="18"/>
          <w:szCs w:val="18"/>
          <w:lang w:val="en-GB" w:eastAsia="en-GB"/>
        </w:rPr>
        <w:fldChar w:fldCharType="separate"/>
      </w:r>
      <w:r w:rsidR="003039A5" w:rsidRPr="006E7959">
        <w:rPr>
          <w:sz w:val="18"/>
        </w:rPr>
        <w:t>(</w:t>
      </w:r>
      <w:r w:rsidR="0053115C">
        <w:rPr>
          <w:sz w:val="18"/>
        </w:rPr>
        <w:t>29</w:t>
      </w:r>
      <w:r w:rsidR="003039A5" w:rsidRPr="006E7959">
        <w:rPr>
          <w:sz w:val="18"/>
        </w:rPr>
        <w:t>)</w:t>
      </w:r>
      <w:r w:rsidR="00E63247" w:rsidRPr="001C0DC2">
        <w:rPr>
          <w:rFonts w:eastAsia="Verdana"/>
          <w:bCs/>
          <w:sz w:val="18"/>
          <w:szCs w:val="18"/>
          <w:lang w:val="en-GB" w:eastAsia="en-GB"/>
        </w:rPr>
        <w:fldChar w:fldCharType="end"/>
      </w:r>
      <w:r w:rsidR="00D57097" w:rsidRPr="0029175B">
        <w:rPr>
          <w:rFonts w:eastAsia="Verdana"/>
          <w:bCs/>
          <w:sz w:val="18"/>
          <w:szCs w:val="18"/>
          <w:lang w:val="en-GB" w:eastAsia="en-GB"/>
        </w:rPr>
        <w:t xml:space="preserve">, the EMA may restrict the access to documents and, prior to the release of documents, will always liaise with the entity having produced the document (in this case a registry </w:t>
      </w:r>
      <w:r w:rsidR="00A7721D">
        <w:rPr>
          <w:rFonts w:eastAsia="Verdana"/>
          <w:bCs/>
          <w:sz w:val="18"/>
          <w:szCs w:val="18"/>
          <w:lang w:val="en-GB" w:eastAsia="en-GB"/>
        </w:rPr>
        <w:t>coordinator</w:t>
      </w:r>
      <w:r w:rsidR="00D57097" w:rsidRPr="0029175B">
        <w:rPr>
          <w:rFonts w:eastAsia="Verdana"/>
          <w:bCs/>
          <w:sz w:val="18"/>
          <w:szCs w:val="18"/>
          <w:lang w:val="en-GB" w:eastAsia="en-GB"/>
        </w:rPr>
        <w:t xml:space="preserve"> or a MAH) to discuss potential steps necessary to protect commercially confidential information and personal data if applicable.</w:t>
      </w:r>
    </w:p>
    <w:p w:rsidR="00D57097" w:rsidRPr="0029175B" w:rsidRDefault="00D64049" w:rsidP="00542E9E">
      <w:pPr>
        <w:pStyle w:val="Heading3Agency"/>
      </w:pPr>
      <w:bookmarkStart w:id="109" w:name="_Toc528934948"/>
      <w:r w:rsidRPr="0029175B">
        <w:t>Data sharing</w:t>
      </w:r>
      <w:bookmarkEnd w:id="109"/>
    </w:p>
    <w:p w:rsidR="00CD360B" w:rsidRPr="0029175B" w:rsidRDefault="00D64049" w:rsidP="00CD360B">
      <w:pPr>
        <w:pStyle w:val="Heading4Agency"/>
      </w:pPr>
      <w:bookmarkStart w:id="110" w:name="_Toc528934949"/>
      <w:r w:rsidRPr="0029175B">
        <w:t>General considerations</w:t>
      </w:r>
      <w:bookmarkEnd w:id="110"/>
    </w:p>
    <w:p w:rsidR="0053115C" w:rsidRDefault="00D64049" w:rsidP="00CD360B">
      <w:pPr>
        <w:pStyle w:val="Default"/>
        <w:spacing w:after="140" w:line="280" w:lineRule="exact"/>
        <w:rPr>
          <w:rFonts w:eastAsia="Verdana"/>
          <w:bCs/>
          <w:sz w:val="18"/>
          <w:szCs w:val="18"/>
          <w:lang w:val="en-GB" w:eastAsia="en-GB"/>
        </w:rPr>
      </w:pPr>
      <w:r>
        <w:rPr>
          <w:rFonts w:eastAsia="Verdana"/>
          <w:bCs/>
          <w:sz w:val="18"/>
          <w:szCs w:val="18"/>
          <w:lang w:val="en-GB" w:eastAsia="en-GB"/>
        </w:rPr>
        <w:t>Data from disease registries are</w:t>
      </w:r>
      <w:r w:rsidRPr="0029175B">
        <w:rPr>
          <w:rFonts w:eastAsia="Verdana"/>
          <w:bCs/>
          <w:sz w:val="18"/>
          <w:szCs w:val="18"/>
          <w:lang w:val="en-GB" w:eastAsia="en-GB"/>
        </w:rPr>
        <w:t xml:space="preserve"> important for regulators as </w:t>
      </w:r>
      <w:r>
        <w:rPr>
          <w:rFonts w:eastAsia="Verdana"/>
          <w:bCs/>
          <w:sz w:val="18"/>
          <w:szCs w:val="18"/>
          <w:lang w:val="en-GB" w:eastAsia="en-GB"/>
        </w:rPr>
        <w:t>they</w:t>
      </w:r>
      <w:r w:rsidR="00D67C33" w:rsidRPr="0029175B">
        <w:rPr>
          <w:rFonts w:eastAsia="Verdana"/>
          <w:bCs/>
          <w:sz w:val="18"/>
          <w:szCs w:val="18"/>
          <w:lang w:val="en-GB" w:eastAsia="en-GB"/>
        </w:rPr>
        <w:t xml:space="preserve"> </w:t>
      </w:r>
      <w:r>
        <w:rPr>
          <w:rFonts w:eastAsia="Verdana"/>
          <w:bCs/>
          <w:sz w:val="18"/>
          <w:szCs w:val="18"/>
          <w:lang w:val="en-GB" w:eastAsia="en-GB"/>
        </w:rPr>
        <w:t xml:space="preserve">may help </w:t>
      </w:r>
      <w:r w:rsidR="00D67C33" w:rsidRPr="0029175B">
        <w:rPr>
          <w:rFonts w:eastAsia="Verdana"/>
          <w:bCs/>
          <w:sz w:val="18"/>
          <w:szCs w:val="18"/>
          <w:lang w:val="en-GB" w:eastAsia="en-GB"/>
        </w:rPr>
        <w:t>understand the disease, monito</w:t>
      </w:r>
      <w:r>
        <w:rPr>
          <w:rFonts w:eastAsia="Verdana"/>
          <w:bCs/>
          <w:sz w:val="18"/>
          <w:szCs w:val="18"/>
          <w:lang w:val="en-GB" w:eastAsia="en-GB"/>
        </w:rPr>
        <w:t xml:space="preserve">r </w:t>
      </w:r>
      <w:r w:rsidR="00D67C33" w:rsidRPr="0029175B">
        <w:rPr>
          <w:rFonts w:eastAsia="Verdana"/>
          <w:bCs/>
          <w:sz w:val="18"/>
          <w:szCs w:val="18"/>
          <w:lang w:val="en-GB" w:eastAsia="en-GB"/>
        </w:rPr>
        <w:t xml:space="preserve">the safety and effectiveness of medicinal products, </w:t>
      </w:r>
      <w:r w:rsidRPr="0029175B">
        <w:rPr>
          <w:rFonts w:eastAsia="Verdana"/>
          <w:bCs/>
          <w:sz w:val="18"/>
          <w:szCs w:val="18"/>
          <w:lang w:val="en-GB" w:eastAsia="en-GB"/>
        </w:rPr>
        <w:t xml:space="preserve">and </w:t>
      </w:r>
      <w:r>
        <w:rPr>
          <w:rFonts w:eastAsia="Verdana"/>
          <w:bCs/>
          <w:sz w:val="18"/>
          <w:szCs w:val="18"/>
          <w:lang w:val="en-GB" w:eastAsia="en-GB"/>
        </w:rPr>
        <w:t>take</w:t>
      </w:r>
      <w:r w:rsidRPr="0029175B">
        <w:rPr>
          <w:rFonts w:eastAsia="Verdana"/>
          <w:bCs/>
          <w:sz w:val="18"/>
          <w:szCs w:val="18"/>
          <w:lang w:val="en-GB" w:eastAsia="en-GB"/>
        </w:rPr>
        <w:t xml:space="preserve"> </w:t>
      </w:r>
      <w:r w:rsidR="00D67C33" w:rsidRPr="0029175B">
        <w:rPr>
          <w:rFonts w:eastAsia="Verdana"/>
          <w:bCs/>
          <w:sz w:val="18"/>
          <w:szCs w:val="18"/>
          <w:lang w:val="en-GB" w:eastAsia="en-GB"/>
        </w:rPr>
        <w:t xml:space="preserve">appropriate </w:t>
      </w:r>
      <w:r w:rsidRPr="0029175B">
        <w:rPr>
          <w:rFonts w:eastAsia="Verdana"/>
          <w:bCs/>
          <w:sz w:val="18"/>
          <w:szCs w:val="18"/>
          <w:lang w:val="en-GB" w:eastAsia="en-GB"/>
        </w:rPr>
        <w:t>decisions</w:t>
      </w:r>
      <w:r w:rsidR="00D67C33" w:rsidRPr="0029175B">
        <w:rPr>
          <w:rFonts w:eastAsia="Verdana"/>
          <w:bCs/>
          <w:sz w:val="18"/>
          <w:szCs w:val="18"/>
          <w:lang w:val="en-GB" w:eastAsia="en-GB"/>
        </w:rPr>
        <w:t xml:space="preserve"> to protect patients’ health.</w:t>
      </w:r>
      <w:r w:rsidR="007D5DB7">
        <w:rPr>
          <w:rFonts w:eastAsia="Verdana"/>
          <w:bCs/>
          <w:sz w:val="18"/>
          <w:szCs w:val="18"/>
          <w:lang w:val="en-GB" w:eastAsia="en-GB"/>
        </w:rPr>
        <w:t xml:space="preserve"> </w:t>
      </w:r>
      <w:r w:rsidR="007D5DB7" w:rsidRPr="007D5DB7">
        <w:rPr>
          <w:rFonts w:eastAsia="Verdana"/>
          <w:bCs/>
          <w:sz w:val="18"/>
          <w:szCs w:val="18"/>
          <w:lang w:val="en-GB" w:eastAsia="en-GB"/>
        </w:rPr>
        <w:t>Aggregated data (supported by statistical analysis if needed) are generally sufficient. Regulators will rarely request patient-level data or analytical datasets</w:t>
      </w:r>
      <w:r>
        <w:rPr>
          <w:rFonts w:eastAsia="Verdana"/>
          <w:bCs/>
          <w:sz w:val="18"/>
          <w:szCs w:val="18"/>
          <w:lang w:val="en-GB" w:eastAsia="en-GB"/>
        </w:rPr>
        <w:t>,</w:t>
      </w:r>
      <w:r w:rsidR="007D5DB7" w:rsidRPr="007D5DB7">
        <w:rPr>
          <w:rFonts w:eastAsia="Verdana"/>
          <w:bCs/>
          <w:sz w:val="18"/>
          <w:szCs w:val="18"/>
          <w:lang w:val="en-GB" w:eastAsia="en-GB"/>
        </w:rPr>
        <w:t xml:space="preserve"> and request</w:t>
      </w:r>
      <w:r w:rsidR="007520C8">
        <w:rPr>
          <w:rFonts w:eastAsia="Verdana"/>
          <w:bCs/>
          <w:sz w:val="18"/>
          <w:szCs w:val="18"/>
          <w:lang w:val="en-GB" w:eastAsia="en-GB"/>
        </w:rPr>
        <w:t>s</w:t>
      </w:r>
      <w:r w:rsidR="007D5DB7" w:rsidRPr="007D5DB7">
        <w:rPr>
          <w:rFonts w:eastAsia="Verdana"/>
          <w:bCs/>
          <w:sz w:val="18"/>
          <w:szCs w:val="18"/>
          <w:lang w:val="en-GB" w:eastAsia="en-GB"/>
        </w:rPr>
        <w:t xml:space="preserve"> </w:t>
      </w:r>
      <w:r w:rsidR="007520C8">
        <w:rPr>
          <w:rFonts w:eastAsia="Verdana"/>
          <w:bCs/>
          <w:sz w:val="18"/>
          <w:szCs w:val="18"/>
          <w:lang w:val="en-GB" w:eastAsia="en-GB"/>
        </w:rPr>
        <w:t xml:space="preserve">for </w:t>
      </w:r>
      <w:r w:rsidR="007520C8" w:rsidRPr="006E7959">
        <w:rPr>
          <w:sz w:val="18"/>
          <w:szCs w:val="18"/>
        </w:rPr>
        <w:t>pseudonymised patient data</w:t>
      </w:r>
      <w:r w:rsidR="007520C8">
        <w:t xml:space="preserve"> </w:t>
      </w:r>
      <w:r w:rsidR="007D5DB7" w:rsidRPr="007D5DB7">
        <w:rPr>
          <w:rFonts w:eastAsia="Verdana"/>
          <w:bCs/>
          <w:sz w:val="18"/>
          <w:szCs w:val="18"/>
          <w:lang w:val="en-GB" w:eastAsia="en-GB"/>
        </w:rPr>
        <w:t xml:space="preserve">would be based on important public health reasons. </w:t>
      </w:r>
      <w:r w:rsidRPr="0029175B">
        <w:rPr>
          <w:rFonts w:eastAsia="Verdana"/>
          <w:bCs/>
          <w:sz w:val="18"/>
          <w:szCs w:val="18"/>
          <w:lang w:val="en-GB" w:eastAsia="en-GB"/>
        </w:rPr>
        <w:t xml:space="preserve">Sharing of </w:t>
      </w:r>
      <w:r w:rsidR="00641571">
        <w:rPr>
          <w:rFonts w:eastAsia="Verdana"/>
          <w:bCs/>
          <w:sz w:val="18"/>
          <w:szCs w:val="18"/>
          <w:lang w:val="en-GB" w:eastAsia="en-GB"/>
        </w:rPr>
        <w:t xml:space="preserve">registry </w:t>
      </w:r>
      <w:r w:rsidRPr="0029175B">
        <w:rPr>
          <w:rFonts w:eastAsia="Verdana"/>
          <w:bCs/>
          <w:sz w:val="18"/>
          <w:szCs w:val="18"/>
          <w:lang w:val="en-GB" w:eastAsia="en-GB"/>
        </w:rPr>
        <w:t xml:space="preserve">data should be based on a voluntary agreement between different parties. </w:t>
      </w:r>
    </w:p>
    <w:p w:rsidR="00CD360B" w:rsidRPr="0029175B" w:rsidRDefault="00D64049" w:rsidP="00CD360B">
      <w:pPr>
        <w:pStyle w:val="Default"/>
        <w:spacing w:after="140" w:line="280" w:lineRule="exact"/>
        <w:rPr>
          <w:rFonts w:eastAsia="Verdana"/>
          <w:bCs/>
          <w:sz w:val="18"/>
          <w:szCs w:val="18"/>
          <w:lang w:val="en-GB" w:eastAsia="en-GB"/>
        </w:rPr>
      </w:pPr>
      <w:r>
        <w:rPr>
          <w:rFonts w:eastAsia="Verdana"/>
          <w:bCs/>
          <w:sz w:val="18"/>
          <w:szCs w:val="18"/>
          <w:lang w:val="en-GB" w:eastAsia="en-GB"/>
        </w:rPr>
        <w:t>The data sharing process</w:t>
      </w:r>
      <w:r w:rsidR="0071261E" w:rsidRPr="0029175B">
        <w:rPr>
          <w:rFonts w:eastAsia="Verdana"/>
          <w:bCs/>
          <w:sz w:val="18"/>
          <w:szCs w:val="18"/>
          <w:lang w:val="en-GB" w:eastAsia="en-GB"/>
        </w:rPr>
        <w:t xml:space="preserve"> may be time consuming, especially if this involves sharing data not pre</w:t>
      </w:r>
      <w:r w:rsidR="00E4276B" w:rsidRPr="0029175B">
        <w:rPr>
          <w:rFonts w:eastAsia="Verdana"/>
          <w:bCs/>
          <w:sz w:val="18"/>
          <w:szCs w:val="18"/>
          <w:lang w:val="en-GB" w:eastAsia="en-GB"/>
        </w:rPr>
        <w:t>viously collected or aggregated.</w:t>
      </w:r>
      <w:r w:rsidR="0071261E" w:rsidRPr="0029175B">
        <w:rPr>
          <w:rFonts w:eastAsia="Verdana"/>
          <w:bCs/>
          <w:sz w:val="18"/>
          <w:szCs w:val="18"/>
          <w:lang w:val="en-GB" w:eastAsia="en-GB"/>
        </w:rPr>
        <w:t xml:space="preserve"> </w:t>
      </w:r>
      <w:r w:rsidR="00E4276B" w:rsidRPr="0029175B">
        <w:rPr>
          <w:rFonts w:eastAsia="Verdana"/>
          <w:bCs/>
          <w:sz w:val="18"/>
          <w:szCs w:val="18"/>
          <w:lang w:val="en-GB" w:eastAsia="en-GB"/>
        </w:rPr>
        <w:t>I</w:t>
      </w:r>
      <w:r w:rsidR="0071261E" w:rsidRPr="0029175B">
        <w:rPr>
          <w:rFonts w:eastAsia="Verdana"/>
          <w:bCs/>
          <w:sz w:val="18"/>
          <w:szCs w:val="18"/>
          <w:lang w:val="en-GB" w:eastAsia="en-GB"/>
        </w:rPr>
        <w:t xml:space="preserve">t is </w:t>
      </w:r>
      <w:r w:rsidR="00E4276B" w:rsidRPr="0029175B">
        <w:rPr>
          <w:rFonts w:eastAsia="Verdana"/>
          <w:bCs/>
          <w:sz w:val="18"/>
          <w:szCs w:val="18"/>
          <w:lang w:val="en-GB" w:eastAsia="en-GB"/>
        </w:rPr>
        <w:t xml:space="preserve">therefore </w:t>
      </w:r>
      <w:r w:rsidR="0071261E" w:rsidRPr="0029175B">
        <w:rPr>
          <w:rFonts w:eastAsia="Verdana"/>
          <w:bCs/>
          <w:sz w:val="18"/>
          <w:szCs w:val="18"/>
          <w:lang w:val="en-GB" w:eastAsia="en-GB"/>
        </w:rPr>
        <w:t xml:space="preserve">recommended to </w:t>
      </w:r>
      <w:r w:rsidR="00E4276B" w:rsidRPr="0029175B">
        <w:rPr>
          <w:rFonts w:eastAsia="Verdana"/>
          <w:bCs/>
          <w:sz w:val="18"/>
          <w:szCs w:val="18"/>
          <w:lang w:val="en-GB" w:eastAsia="en-GB"/>
        </w:rPr>
        <w:t>MAAs/</w:t>
      </w:r>
      <w:r w:rsidR="0071261E" w:rsidRPr="0029175B">
        <w:rPr>
          <w:rFonts w:eastAsia="Verdana"/>
          <w:bCs/>
          <w:sz w:val="18"/>
          <w:szCs w:val="18"/>
          <w:lang w:val="en-GB" w:eastAsia="en-GB"/>
        </w:rPr>
        <w:t xml:space="preserve">MAHs to initiate discussions with regulatory authorities and registry coordinators on a possible use of registry data at an early stage during the authorisation process, for example at the time of pre-submission meetings. Early interactions between companies, regulators and </w:t>
      </w:r>
      <w:r w:rsidR="003C1138" w:rsidRPr="0029175B">
        <w:rPr>
          <w:rFonts w:eastAsia="Verdana"/>
          <w:bCs/>
          <w:sz w:val="18"/>
          <w:szCs w:val="18"/>
          <w:lang w:val="en-GB" w:eastAsia="en-GB"/>
        </w:rPr>
        <w:t>registr</w:t>
      </w:r>
      <w:r w:rsidR="003C1138">
        <w:rPr>
          <w:rFonts w:eastAsia="Verdana"/>
          <w:bCs/>
          <w:sz w:val="18"/>
          <w:szCs w:val="18"/>
          <w:lang w:val="en-GB" w:eastAsia="en-GB"/>
        </w:rPr>
        <w:t>y coordinators</w:t>
      </w:r>
      <w:r w:rsidR="003C1138" w:rsidRPr="0029175B">
        <w:rPr>
          <w:rFonts w:eastAsia="Verdana"/>
          <w:bCs/>
          <w:sz w:val="18"/>
          <w:szCs w:val="18"/>
          <w:lang w:val="en-GB" w:eastAsia="en-GB"/>
        </w:rPr>
        <w:t xml:space="preserve"> </w:t>
      </w:r>
      <w:r w:rsidR="0071261E" w:rsidRPr="0029175B">
        <w:rPr>
          <w:rFonts w:eastAsia="Verdana"/>
          <w:bCs/>
          <w:sz w:val="18"/>
          <w:szCs w:val="18"/>
          <w:lang w:val="en-GB" w:eastAsia="en-GB"/>
        </w:rPr>
        <w:t xml:space="preserve">would facilitate mutual in-depth </w:t>
      </w:r>
      <w:r w:rsidR="0071261E" w:rsidRPr="0029175B">
        <w:rPr>
          <w:rFonts w:eastAsia="Verdana"/>
          <w:bCs/>
          <w:sz w:val="18"/>
          <w:szCs w:val="18"/>
          <w:lang w:val="en-GB" w:eastAsia="en-GB"/>
        </w:rPr>
        <w:lastRenderedPageBreak/>
        <w:t>understanding of the extent and data available in patient registries and of the regulatory data requirements that are likely to arise during the application process, especially in planning for post-authorisation surveillance.</w:t>
      </w:r>
    </w:p>
    <w:p w:rsidR="00CD360B" w:rsidRPr="0029175B" w:rsidRDefault="00D64049" w:rsidP="00CD360B">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 xml:space="preserve">The format of the data shared with MAHs and regulators will vary according to the objectives of data sharing and the agreement between different parties. The data should </w:t>
      </w:r>
      <w:r w:rsidR="004275C0">
        <w:rPr>
          <w:rFonts w:eastAsia="Verdana"/>
          <w:bCs/>
          <w:sz w:val="18"/>
          <w:szCs w:val="18"/>
          <w:lang w:val="en-GB" w:eastAsia="en-GB"/>
        </w:rPr>
        <w:t xml:space="preserve">be </w:t>
      </w:r>
      <w:r w:rsidRPr="0029175B">
        <w:rPr>
          <w:rFonts w:eastAsia="Verdana"/>
          <w:bCs/>
          <w:sz w:val="18"/>
          <w:szCs w:val="18"/>
          <w:lang w:val="en-GB" w:eastAsia="en-GB"/>
        </w:rPr>
        <w:t xml:space="preserve">presented using international terminologies, especially the MedDRA terminology for adverse events or suspected </w:t>
      </w:r>
      <w:r w:rsidR="003F3A0D">
        <w:rPr>
          <w:rFonts w:eastAsia="Verdana"/>
          <w:bCs/>
          <w:sz w:val="18"/>
          <w:szCs w:val="18"/>
          <w:lang w:val="en-GB" w:eastAsia="en-GB"/>
        </w:rPr>
        <w:t>adverse reactions</w:t>
      </w:r>
      <w:r w:rsidRPr="0029175B">
        <w:rPr>
          <w:rFonts w:eastAsia="Verdana"/>
          <w:bCs/>
          <w:sz w:val="18"/>
          <w:szCs w:val="18"/>
          <w:lang w:val="en-GB" w:eastAsia="en-GB"/>
        </w:rPr>
        <w:t>.</w:t>
      </w:r>
    </w:p>
    <w:p w:rsidR="008B3B33" w:rsidRPr="0029175B" w:rsidRDefault="00D64049" w:rsidP="008B3B33">
      <w:pPr>
        <w:pStyle w:val="Heading4Agency"/>
      </w:pPr>
      <w:bookmarkStart w:id="111" w:name="_Toc528934950"/>
      <w:r w:rsidRPr="0029175B">
        <w:t>Data sharing with MAAs/MAHs</w:t>
      </w:r>
      <w:bookmarkEnd w:id="111"/>
    </w:p>
    <w:p w:rsidR="00D57097" w:rsidRPr="0029175B" w:rsidRDefault="00D64049" w:rsidP="00D57097">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There are a number of situations where</w:t>
      </w:r>
      <w:r w:rsidR="008B3B33" w:rsidRPr="0029175B">
        <w:rPr>
          <w:rFonts w:eastAsia="Verdana"/>
          <w:bCs/>
          <w:sz w:val="18"/>
          <w:szCs w:val="18"/>
          <w:lang w:val="en-GB" w:eastAsia="en-GB"/>
        </w:rPr>
        <w:t xml:space="preserve"> data sharing with MAAs/MAHs</w:t>
      </w:r>
      <w:r w:rsidRPr="0029175B">
        <w:rPr>
          <w:rFonts w:eastAsia="Verdana"/>
          <w:bCs/>
          <w:sz w:val="18"/>
          <w:szCs w:val="18"/>
          <w:lang w:val="en-GB" w:eastAsia="en-GB"/>
        </w:rPr>
        <w:t xml:space="preserve"> </w:t>
      </w:r>
      <w:r w:rsidR="008B3B33" w:rsidRPr="0029175B">
        <w:rPr>
          <w:rFonts w:eastAsia="Verdana"/>
          <w:bCs/>
          <w:sz w:val="18"/>
          <w:szCs w:val="18"/>
          <w:lang w:val="en-GB" w:eastAsia="en-GB"/>
        </w:rPr>
        <w:t>will support the</w:t>
      </w:r>
      <w:r w:rsidR="00982777" w:rsidRPr="0029175B">
        <w:rPr>
          <w:rFonts w:eastAsia="Verdana"/>
          <w:bCs/>
          <w:sz w:val="18"/>
          <w:szCs w:val="18"/>
          <w:lang w:val="en-GB" w:eastAsia="en-GB"/>
        </w:rPr>
        <w:t xml:space="preserve"> </w:t>
      </w:r>
      <w:r w:rsidR="008B3B33" w:rsidRPr="0029175B">
        <w:rPr>
          <w:rFonts w:eastAsia="Verdana"/>
          <w:bCs/>
          <w:sz w:val="18"/>
          <w:szCs w:val="18"/>
          <w:lang w:val="en-GB" w:eastAsia="en-GB"/>
        </w:rPr>
        <w:t>development, a</w:t>
      </w:r>
      <w:r w:rsidR="00982777" w:rsidRPr="0029175B">
        <w:rPr>
          <w:rFonts w:eastAsia="Verdana"/>
          <w:bCs/>
          <w:sz w:val="18"/>
          <w:szCs w:val="18"/>
          <w:lang w:val="en-GB" w:eastAsia="en-GB"/>
        </w:rPr>
        <w:t>u</w:t>
      </w:r>
      <w:r w:rsidR="008B3B33" w:rsidRPr="0029175B">
        <w:rPr>
          <w:rFonts w:eastAsia="Verdana"/>
          <w:bCs/>
          <w:sz w:val="18"/>
          <w:szCs w:val="18"/>
          <w:lang w:val="en-GB" w:eastAsia="en-GB"/>
        </w:rPr>
        <w:t xml:space="preserve">thorisation and monitoring </w:t>
      </w:r>
      <w:r w:rsidR="00982777" w:rsidRPr="0029175B">
        <w:rPr>
          <w:rFonts w:eastAsia="Verdana"/>
          <w:bCs/>
          <w:sz w:val="18"/>
          <w:szCs w:val="18"/>
          <w:lang w:val="en-GB" w:eastAsia="en-GB"/>
        </w:rPr>
        <w:t>of</w:t>
      </w:r>
      <w:r w:rsidR="008B3B33" w:rsidRPr="0029175B">
        <w:rPr>
          <w:rFonts w:eastAsia="Verdana"/>
          <w:bCs/>
          <w:sz w:val="18"/>
          <w:szCs w:val="18"/>
          <w:lang w:val="en-GB" w:eastAsia="en-GB"/>
        </w:rPr>
        <w:t xml:space="preserve"> medicinal products</w:t>
      </w:r>
      <w:r w:rsidR="002A354A">
        <w:rPr>
          <w:rFonts w:eastAsia="Verdana"/>
          <w:bCs/>
          <w:sz w:val="18"/>
          <w:szCs w:val="18"/>
          <w:lang w:val="en-GB" w:eastAsia="en-GB"/>
        </w:rPr>
        <w:t>:</w:t>
      </w:r>
      <w:r w:rsidRPr="0029175B">
        <w:rPr>
          <w:rFonts w:eastAsia="Verdana"/>
          <w:bCs/>
          <w:sz w:val="18"/>
          <w:szCs w:val="18"/>
          <w:lang w:val="en-GB" w:eastAsia="en-GB"/>
        </w:rPr>
        <w:t xml:space="preserve"> </w:t>
      </w:r>
    </w:p>
    <w:p w:rsidR="00982777" w:rsidRPr="0029175B" w:rsidRDefault="00D64049" w:rsidP="00982777">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 xml:space="preserve">natural </w:t>
      </w:r>
      <w:r w:rsidR="00194B01">
        <w:rPr>
          <w:rFonts w:eastAsia="Verdana"/>
          <w:bCs/>
          <w:sz w:val="18"/>
          <w:szCs w:val="18"/>
          <w:lang w:val="en-GB" w:eastAsia="en-GB"/>
        </w:rPr>
        <w:t xml:space="preserve">history cohort: </w:t>
      </w:r>
      <w:r w:rsidR="001E2359" w:rsidRPr="0029175B">
        <w:rPr>
          <w:rFonts w:eastAsia="Verdana"/>
          <w:bCs/>
          <w:sz w:val="18"/>
          <w:szCs w:val="18"/>
          <w:lang w:val="en-GB" w:eastAsia="en-GB"/>
        </w:rPr>
        <w:t>registr</w:t>
      </w:r>
      <w:r w:rsidR="005E3A32" w:rsidRPr="0029175B">
        <w:rPr>
          <w:rFonts w:eastAsia="Verdana"/>
          <w:bCs/>
          <w:sz w:val="18"/>
          <w:szCs w:val="18"/>
          <w:lang w:val="en-GB" w:eastAsia="en-GB"/>
        </w:rPr>
        <w:t>ies may provide</w:t>
      </w:r>
      <w:r w:rsidR="001E2359" w:rsidRPr="0029175B">
        <w:rPr>
          <w:rFonts w:eastAsia="Verdana"/>
          <w:bCs/>
          <w:sz w:val="18"/>
          <w:szCs w:val="18"/>
          <w:lang w:val="en-GB" w:eastAsia="en-GB"/>
        </w:rPr>
        <w:t xml:space="preserve"> </w:t>
      </w:r>
      <w:r w:rsidR="00194B01">
        <w:rPr>
          <w:rFonts w:eastAsia="Verdana"/>
          <w:bCs/>
          <w:sz w:val="18"/>
          <w:szCs w:val="18"/>
          <w:lang w:val="en-GB" w:eastAsia="en-GB"/>
        </w:rPr>
        <w:t xml:space="preserve">important </w:t>
      </w:r>
      <w:r w:rsidR="001E2359" w:rsidRPr="0029175B">
        <w:rPr>
          <w:rFonts w:eastAsia="Verdana"/>
          <w:bCs/>
          <w:sz w:val="18"/>
          <w:szCs w:val="18"/>
          <w:lang w:val="en-GB" w:eastAsia="en-GB"/>
        </w:rPr>
        <w:t xml:space="preserve">data </w:t>
      </w:r>
      <w:r w:rsidR="00194B01">
        <w:rPr>
          <w:rFonts w:eastAsia="Verdana"/>
          <w:bCs/>
          <w:sz w:val="18"/>
          <w:szCs w:val="18"/>
          <w:lang w:val="en-GB" w:eastAsia="en-GB"/>
        </w:rPr>
        <w:t>for the planning of the clinical development</w:t>
      </w:r>
      <w:r w:rsidR="003D0A7A">
        <w:rPr>
          <w:rFonts w:eastAsia="Verdana"/>
          <w:bCs/>
          <w:sz w:val="18"/>
          <w:szCs w:val="18"/>
          <w:lang w:val="en-GB" w:eastAsia="en-GB"/>
        </w:rPr>
        <w:t xml:space="preserve"> and for deriving assumptions on the sample size needed, expected effect size and endpoints</w:t>
      </w:r>
      <w:r w:rsidR="00194B01">
        <w:rPr>
          <w:rFonts w:eastAsia="Verdana"/>
          <w:bCs/>
          <w:sz w:val="18"/>
          <w:szCs w:val="18"/>
          <w:lang w:val="en-GB" w:eastAsia="en-GB"/>
        </w:rPr>
        <w:t xml:space="preserve">, such as data </w:t>
      </w:r>
      <w:r w:rsidR="001E2359" w:rsidRPr="0029175B">
        <w:rPr>
          <w:rFonts w:eastAsia="Verdana"/>
          <w:bCs/>
          <w:sz w:val="18"/>
          <w:szCs w:val="18"/>
          <w:lang w:val="en-GB" w:eastAsia="en-GB"/>
        </w:rPr>
        <w:t>on disease epidemiology</w:t>
      </w:r>
      <w:r w:rsidR="00961C90" w:rsidRPr="0029175B">
        <w:rPr>
          <w:rFonts w:eastAsia="Verdana"/>
          <w:bCs/>
          <w:sz w:val="18"/>
          <w:szCs w:val="18"/>
          <w:lang w:val="en-GB" w:eastAsia="en-GB"/>
        </w:rPr>
        <w:t xml:space="preserve"> in terms of prevalence, incidence and outcomes of standards of care</w:t>
      </w:r>
      <w:r w:rsidR="001E2359" w:rsidRPr="0029175B">
        <w:rPr>
          <w:rFonts w:eastAsia="Verdana"/>
          <w:bCs/>
          <w:sz w:val="18"/>
          <w:szCs w:val="18"/>
          <w:lang w:val="en-GB" w:eastAsia="en-GB"/>
        </w:rPr>
        <w:t xml:space="preserve">, </w:t>
      </w:r>
      <w:r w:rsidR="00961C90" w:rsidRPr="0029175B">
        <w:rPr>
          <w:rFonts w:eastAsia="Verdana"/>
          <w:bCs/>
          <w:sz w:val="18"/>
          <w:szCs w:val="18"/>
          <w:lang w:val="en-GB" w:eastAsia="en-GB"/>
        </w:rPr>
        <w:t xml:space="preserve">on the validity of biomarkers, and on characteristics </w:t>
      </w:r>
      <w:r w:rsidR="00961C90" w:rsidRPr="0029175B">
        <w:rPr>
          <w:sz w:val="18"/>
          <w:szCs w:val="18"/>
          <w:lang w:val="en-GB"/>
        </w:rPr>
        <w:t>of the target population according to co-morbidities, medication use, complications and safety concerns</w:t>
      </w:r>
      <w:r w:rsidR="0053115C">
        <w:rPr>
          <w:sz w:val="18"/>
          <w:szCs w:val="18"/>
          <w:lang w:val="en-GB"/>
        </w:rPr>
        <w:t>;</w:t>
      </w:r>
      <w:r w:rsidR="00961C90" w:rsidRPr="0029175B">
        <w:rPr>
          <w:sz w:val="18"/>
          <w:szCs w:val="18"/>
          <w:lang w:val="en-GB"/>
        </w:rPr>
        <w:t xml:space="preserve"> </w:t>
      </w:r>
    </w:p>
    <w:p w:rsidR="008B3B33" w:rsidRPr="0029175B" w:rsidRDefault="00D64049" w:rsidP="00982777">
      <w:pPr>
        <w:pStyle w:val="Default"/>
        <w:numPr>
          <w:ilvl w:val="0"/>
          <w:numId w:val="22"/>
        </w:numPr>
        <w:spacing w:after="140" w:line="280" w:lineRule="exact"/>
        <w:rPr>
          <w:rFonts w:eastAsia="Verdana"/>
          <w:bCs/>
          <w:sz w:val="18"/>
          <w:szCs w:val="18"/>
          <w:lang w:val="en-GB" w:eastAsia="en-GB"/>
        </w:rPr>
      </w:pPr>
      <w:r>
        <w:rPr>
          <w:sz w:val="18"/>
          <w:szCs w:val="18"/>
          <w:lang w:val="en-GB"/>
        </w:rPr>
        <w:t xml:space="preserve">external </w:t>
      </w:r>
      <w:r w:rsidR="00194B01">
        <w:rPr>
          <w:sz w:val="18"/>
          <w:szCs w:val="18"/>
          <w:lang w:val="en-GB"/>
        </w:rPr>
        <w:t>control</w:t>
      </w:r>
      <w:r>
        <w:rPr>
          <w:sz w:val="18"/>
          <w:szCs w:val="18"/>
          <w:lang w:val="en-GB"/>
        </w:rPr>
        <w:t xml:space="preserve"> cohort</w:t>
      </w:r>
      <w:r w:rsidR="00194B01">
        <w:rPr>
          <w:sz w:val="18"/>
          <w:szCs w:val="18"/>
          <w:lang w:val="en-GB"/>
        </w:rPr>
        <w:t xml:space="preserve">: </w:t>
      </w:r>
      <w:r w:rsidR="003D0A7A">
        <w:rPr>
          <w:sz w:val="18"/>
          <w:szCs w:val="18"/>
          <w:lang w:val="en-GB"/>
        </w:rPr>
        <w:t>as part of the</w:t>
      </w:r>
      <w:r w:rsidR="00BC125B">
        <w:rPr>
          <w:sz w:val="18"/>
          <w:szCs w:val="18"/>
          <w:lang w:val="en-GB"/>
        </w:rPr>
        <w:t xml:space="preserve"> </w:t>
      </w:r>
      <w:r w:rsidR="00961C90" w:rsidRPr="0029175B">
        <w:rPr>
          <w:sz w:val="18"/>
          <w:szCs w:val="18"/>
          <w:lang w:val="en-GB"/>
        </w:rPr>
        <w:t xml:space="preserve">clinical </w:t>
      </w:r>
      <w:r w:rsidR="00194B01">
        <w:rPr>
          <w:sz w:val="18"/>
          <w:szCs w:val="18"/>
          <w:lang w:val="en-GB"/>
        </w:rPr>
        <w:t>development</w:t>
      </w:r>
      <w:r w:rsidR="00961C90" w:rsidRPr="0029175B">
        <w:rPr>
          <w:sz w:val="18"/>
          <w:szCs w:val="18"/>
          <w:lang w:val="en-GB"/>
        </w:rPr>
        <w:t xml:space="preserve">, </w:t>
      </w:r>
      <w:r w:rsidR="003C1138">
        <w:rPr>
          <w:sz w:val="18"/>
          <w:szCs w:val="18"/>
          <w:lang w:val="en-GB"/>
        </w:rPr>
        <w:t xml:space="preserve">disease </w:t>
      </w:r>
      <w:r w:rsidR="00961C90" w:rsidRPr="0029175B">
        <w:rPr>
          <w:sz w:val="18"/>
          <w:szCs w:val="18"/>
          <w:lang w:val="en-GB"/>
        </w:rPr>
        <w:t xml:space="preserve">registries may provide </w:t>
      </w:r>
      <w:r w:rsidR="003D0A7A">
        <w:rPr>
          <w:sz w:val="18"/>
          <w:szCs w:val="18"/>
          <w:lang w:val="en-GB"/>
        </w:rPr>
        <w:t xml:space="preserve">an external comparator cohort </w:t>
      </w:r>
      <w:r w:rsidR="00735758">
        <w:rPr>
          <w:sz w:val="18"/>
          <w:szCs w:val="18"/>
          <w:lang w:val="en-GB"/>
        </w:rPr>
        <w:t xml:space="preserve">with </w:t>
      </w:r>
      <w:r w:rsidR="00961C90" w:rsidRPr="0029175B">
        <w:rPr>
          <w:sz w:val="18"/>
          <w:szCs w:val="18"/>
          <w:lang w:val="en-GB"/>
        </w:rPr>
        <w:t xml:space="preserve">data on </w:t>
      </w:r>
      <w:r w:rsidR="00735758">
        <w:rPr>
          <w:sz w:val="18"/>
          <w:szCs w:val="18"/>
          <w:lang w:val="en-GB"/>
        </w:rPr>
        <w:t xml:space="preserve">unexposed </w:t>
      </w:r>
      <w:r w:rsidR="00961C90" w:rsidRPr="0029175B">
        <w:rPr>
          <w:sz w:val="18"/>
          <w:szCs w:val="18"/>
          <w:lang w:val="en-GB"/>
        </w:rPr>
        <w:t xml:space="preserve">patients with similar demographic and clinical characteristics (i.e., disease severity, age group, median/mean follow-up time, comorbidities) </w:t>
      </w:r>
      <w:r w:rsidR="00194B01">
        <w:rPr>
          <w:sz w:val="18"/>
          <w:szCs w:val="18"/>
          <w:lang w:val="en-GB"/>
        </w:rPr>
        <w:t>to the clinical programme under study</w:t>
      </w:r>
      <w:r w:rsidR="0053115C">
        <w:rPr>
          <w:sz w:val="18"/>
          <w:szCs w:val="18"/>
          <w:lang w:val="en-GB"/>
        </w:rPr>
        <w:t>;</w:t>
      </w:r>
    </w:p>
    <w:p w:rsidR="00D57097" w:rsidRPr="0029175B" w:rsidRDefault="00D64049" w:rsidP="00542E9E">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p</w:t>
      </w:r>
      <w:r w:rsidRPr="0029175B">
        <w:rPr>
          <w:rFonts w:eastAsia="Verdana"/>
          <w:bCs/>
          <w:sz w:val="18"/>
          <w:szCs w:val="18"/>
          <w:lang w:val="en-GB" w:eastAsia="en-GB"/>
        </w:rPr>
        <w:t>ost</w:t>
      </w:r>
      <w:r w:rsidR="00194B01" w:rsidRPr="0029175B">
        <w:rPr>
          <w:rFonts w:eastAsia="Verdana"/>
          <w:bCs/>
          <w:sz w:val="18"/>
          <w:szCs w:val="18"/>
          <w:lang w:val="en-GB" w:eastAsia="en-GB"/>
        </w:rPr>
        <w:t>-authorisation</w:t>
      </w:r>
      <w:r w:rsidR="003C1138">
        <w:rPr>
          <w:rFonts w:eastAsia="Verdana"/>
          <w:bCs/>
          <w:sz w:val="18"/>
          <w:szCs w:val="18"/>
          <w:lang w:val="en-GB" w:eastAsia="en-GB"/>
        </w:rPr>
        <w:t>:</w:t>
      </w:r>
      <w:r w:rsidR="003C1138" w:rsidRPr="0029175B">
        <w:rPr>
          <w:rFonts w:eastAsia="Verdana"/>
          <w:bCs/>
          <w:sz w:val="18"/>
          <w:szCs w:val="18"/>
          <w:lang w:val="en-GB" w:eastAsia="en-GB"/>
        </w:rPr>
        <w:t xml:space="preserve"> </w:t>
      </w:r>
      <w:r w:rsidR="00950368" w:rsidRPr="0029175B">
        <w:rPr>
          <w:rFonts w:eastAsia="Verdana"/>
          <w:bCs/>
          <w:sz w:val="18"/>
          <w:szCs w:val="18"/>
          <w:lang w:val="en-GB" w:eastAsia="en-GB"/>
        </w:rPr>
        <w:t xml:space="preserve">MAHs </w:t>
      </w:r>
      <w:r w:rsidR="00817DD5">
        <w:rPr>
          <w:rFonts w:eastAsia="Verdana"/>
          <w:bCs/>
          <w:sz w:val="18"/>
          <w:szCs w:val="18"/>
          <w:lang w:val="en-GB" w:eastAsia="en-GB"/>
        </w:rPr>
        <w:t>may have to</w:t>
      </w:r>
      <w:r w:rsidR="00950368" w:rsidRPr="0029175B">
        <w:rPr>
          <w:rFonts w:eastAsia="Verdana"/>
          <w:bCs/>
          <w:sz w:val="18"/>
          <w:szCs w:val="18"/>
          <w:lang w:val="en-GB" w:eastAsia="en-GB"/>
        </w:rPr>
        <w:t xml:space="preserve"> provide PSURs </w:t>
      </w:r>
      <w:r w:rsidR="00194B01" w:rsidRPr="0029175B">
        <w:rPr>
          <w:rFonts w:eastAsia="Verdana"/>
          <w:bCs/>
          <w:sz w:val="18"/>
          <w:szCs w:val="18"/>
          <w:lang w:val="en-GB" w:eastAsia="en-GB"/>
        </w:rPr>
        <w:t xml:space="preserve">with </w:t>
      </w:r>
      <w:r w:rsidR="00950368" w:rsidRPr="0029175B">
        <w:rPr>
          <w:rFonts w:eastAsia="Verdana"/>
          <w:bCs/>
          <w:sz w:val="18"/>
          <w:szCs w:val="18"/>
          <w:lang w:val="en-GB" w:eastAsia="en-GB"/>
        </w:rPr>
        <w:t xml:space="preserve">cumulative tabulations of adverse reactions they have been made aware of during the period covered by the PSUR. These adverse reactions may be derived from various sources, including </w:t>
      </w:r>
      <w:r w:rsidR="003C1138">
        <w:rPr>
          <w:rFonts w:eastAsia="Verdana"/>
          <w:bCs/>
          <w:sz w:val="18"/>
          <w:szCs w:val="18"/>
          <w:lang w:val="en-GB" w:eastAsia="en-GB"/>
        </w:rPr>
        <w:t>disease</w:t>
      </w:r>
      <w:r w:rsidR="003C1138" w:rsidRPr="0029175B">
        <w:rPr>
          <w:rFonts w:eastAsia="Verdana"/>
          <w:bCs/>
          <w:sz w:val="18"/>
          <w:szCs w:val="18"/>
          <w:lang w:val="en-GB" w:eastAsia="en-GB"/>
        </w:rPr>
        <w:t xml:space="preserve"> </w:t>
      </w:r>
      <w:r w:rsidR="00950368" w:rsidRPr="0029175B">
        <w:rPr>
          <w:rFonts w:eastAsia="Verdana"/>
          <w:bCs/>
          <w:sz w:val="18"/>
          <w:szCs w:val="18"/>
          <w:lang w:val="en-GB" w:eastAsia="en-GB"/>
        </w:rPr>
        <w:t xml:space="preserve">registries from which periodic reports can be generated. These reports may include drug utilisation data, incidence data of suspected </w:t>
      </w:r>
      <w:r w:rsidR="003F3A0D">
        <w:rPr>
          <w:rFonts w:eastAsia="Verdana"/>
          <w:bCs/>
          <w:sz w:val="18"/>
          <w:szCs w:val="18"/>
          <w:lang w:val="en-GB" w:eastAsia="en-GB"/>
        </w:rPr>
        <w:t>adverse reaction</w:t>
      </w:r>
      <w:r w:rsidR="003F3A0D" w:rsidRPr="0029175B">
        <w:rPr>
          <w:rFonts w:eastAsia="Verdana"/>
          <w:bCs/>
          <w:sz w:val="18"/>
          <w:szCs w:val="18"/>
          <w:lang w:val="en-GB" w:eastAsia="en-GB"/>
        </w:rPr>
        <w:t xml:space="preserve"> </w:t>
      </w:r>
      <w:r w:rsidR="00950368" w:rsidRPr="0029175B">
        <w:rPr>
          <w:rFonts w:eastAsia="Verdana"/>
          <w:bCs/>
          <w:sz w:val="18"/>
          <w:szCs w:val="18"/>
          <w:lang w:val="en-GB" w:eastAsia="en-GB"/>
        </w:rPr>
        <w:t>and clinical description of cases. The standard submission schedule of PSURs for a marketed product is 6 monthly following initial placing on the market in the EU for 2 years, then once a year for the following 2 years and thereafter at 3-yearly intervals. This schedule may be amended depending on circumstances; for example, regulators may require that PSURs are submitted annually for a period longer than 2-years post-marketing. The periodicity of reports generated by registries could be adapted to the st</w:t>
      </w:r>
      <w:r w:rsidR="0053115C">
        <w:rPr>
          <w:rFonts w:eastAsia="Verdana"/>
          <w:bCs/>
          <w:sz w:val="18"/>
          <w:szCs w:val="18"/>
          <w:lang w:val="en-GB" w:eastAsia="en-GB"/>
        </w:rPr>
        <w:t>andard PSUR submission schedule;</w:t>
      </w:r>
    </w:p>
    <w:p w:rsidR="00D57097" w:rsidRPr="0029175B" w:rsidRDefault="00D64049" w:rsidP="00542E9E">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i</w:t>
      </w:r>
      <w:r w:rsidRPr="0029175B">
        <w:rPr>
          <w:rFonts w:eastAsia="Verdana"/>
          <w:bCs/>
          <w:sz w:val="18"/>
          <w:szCs w:val="18"/>
          <w:lang w:val="en-GB" w:eastAsia="en-GB"/>
        </w:rPr>
        <w:t xml:space="preserve">n </w:t>
      </w:r>
      <w:r w:rsidR="00194B01" w:rsidRPr="0029175B">
        <w:rPr>
          <w:rFonts w:eastAsia="Verdana"/>
          <w:bCs/>
          <w:sz w:val="18"/>
          <w:szCs w:val="18"/>
          <w:lang w:val="en-GB" w:eastAsia="en-GB"/>
        </w:rPr>
        <w:t xml:space="preserve">the context of the investigation of a new safety signal, a MAH may be asked to collect cases of the suspected </w:t>
      </w:r>
      <w:r w:rsidR="003F3A0D">
        <w:rPr>
          <w:rFonts w:eastAsia="Verdana"/>
          <w:bCs/>
          <w:sz w:val="18"/>
          <w:szCs w:val="18"/>
          <w:lang w:val="en-GB" w:eastAsia="en-GB"/>
        </w:rPr>
        <w:t>adverse reaction</w:t>
      </w:r>
      <w:r w:rsidR="003F3A0D" w:rsidRPr="0029175B">
        <w:rPr>
          <w:rFonts w:eastAsia="Verdana"/>
          <w:bCs/>
          <w:sz w:val="18"/>
          <w:szCs w:val="18"/>
          <w:lang w:val="en-GB" w:eastAsia="en-GB"/>
        </w:rPr>
        <w:t xml:space="preserve"> </w:t>
      </w:r>
      <w:r w:rsidR="00194B01" w:rsidRPr="0029175B">
        <w:rPr>
          <w:rFonts w:eastAsia="Verdana"/>
          <w:bCs/>
          <w:sz w:val="18"/>
          <w:szCs w:val="18"/>
          <w:lang w:val="en-GB" w:eastAsia="en-GB"/>
        </w:rPr>
        <w:t xml:space="preserve">from additional sources; registries may therefore be </w:t>
      </w:r>
      <w:r>
        <w:rPr>
          <w:rFonts w:eastAsia="Verdana"/>
          <w:bCs/>
          <w:sz w:val="18"/>
          <w:szCs w:val="18"/>
          <w:lang w:val="en-GB" w:eastAsia="en-GB"/>
        </w:rPr>
        <w:t>requested</w:t>
      </w:r>
      <w:r w:rsidRPr="0029175B">
        <w:rPr>
          <w:rFonts w:eastAsia="Verdana"/>
          <w:bCs/>
          <w:sz w:val="18"/>
          <w:szCs w:val="18"/>
          <w:lang w:val="en-GB" w:eastAsia="en-GB"/>
        </w:rPr>
        <w:t xml:space="preserve"> </w:t>
      </w:r>
      <w:r w:rsidR="00194B01" w:rsidRPr="0029175B">
        <w:rPr>
          <w:rFonts w:eastAsia="Verdana"/>
          <w:bCs/>
          <w:sz w:val="18"/>
          <w:szCs w:val="18"/>
          <w:lang w:val="en-GB" w:eastAsia="en-GB"/>
        </w:rPr>
        <w:t xml:space="preserve">to provide any available </w:t>
      </w:r>
      <w:r w:rsidR="00C27D26">
        <w:rPr>
          <w:rFonts w:eastAsia="Verdana"/>
          <w:bCs/>
          <w:sz w:val="18"/>
          <w:szCs w:val="18"/>
          <w:lang w:val="en-GB" w:eastAsia="en-GB"/>
        </w:rPr>
        <w:t>information</w:t>
      </w:r>
      <w:r w:rsidR="00194B01" w:rsidRPr="0029175B">
        <w:rPr>
          <w:rFonts w:eastAsia="Verdana"/>
          <w:bCs/>
          <w:sz w:val="18"/>
          <w:szCs w:val="18"/>
          <w:lang w:val="en-GB" w:eastAsia="en-GB"/>
        </w:rPr>
        <w:t xml:space="preserve"> on cases related to the signal</w:t>
      </w:r>
      <w:r w:rsidR="00C706BB">
        <w:rPr>
          <w:rFonts w:eastAsia="Verdana"/>
          <w:bCs/>
          <w:sz w:val="18"/>
          <w:szCs w:val="18"/>
          <w:lang w:val="en-GB" w:eastAsia="en-GB"/>
        </w:rPr>
        <w:t xml:space="preserve"> or cumulative data that </w:t>
      </w:r>
      <w:r w:rsidR="00194B01" w:rsidRPr="0029175B">
        <w:rPr>
          <w:rFonts w:eastAsia="Verdana"/>
          <w:bCs/>
          <w:sz w:val="18"/>
          <w:szCs w:val="18"/>
          <w:lang w:val="en-GB" w:eastAsia="en-GB"/>
        </w:rPr>
        <w:t>may be extracted from a previous registry report or from an ad-hoc statistical report</w:t>
      </w:r>
      <w:r w:rsidR="0053115C">
        <w:rPr>
          <w:rFonts w:eastAsia="Verdana"/>
          <w:bCs/>
          <w:sz w:val="18"/>
          <w:szCs w:val="18"/>
          <w:lang w:val="en-GB" w:eastAsia="en-GB"/>
        </w:rPr>
        <w:t>;</w:t>
      </w:r>
    </w:p>
    <w:p w:rsidR="00D57097" w:rsidRPr="002A3CEF" w:rsidRDefault="00D64049" w:rsidP="00EA5AD1">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i</w:t>
      </w:r>
      <w:r w:rsidRPr="00EA5AD1">
        <w:rPr>
          <w:rFonts w:eastAsia="Verdana"/>
          <w:bCs/>
          <w:sz w:val="18"/>
          <w:szCs w:val="18"/>
          <w:lang w:val="en-GB" w:eastAsia="en-GB"/>
        </w:rPr>
        <w:t xml:space="preserve">n </w:t>
      </w:r>
      <w:r w:rsidR="00194B01" w:rsidRPr="00EA5AD1">
        <w:rPr>
          <w:rFonts w:eastAsia="Verdana"/>
          <w:bCs/>
          <w:sz w:val="18"/>
          <w:szCs w:val="18"/>
          <w:lang w:val="en-GB" w:eastAsia="en-GB"/>
        </w:rPr>
        <w:t>some circumstances, a PASS or a P</w:t>
      </w:r>
      <w:r w:rsidR="000D55B4" w:rsidRPr="00EA5AD1">
        <w:rPr>
          <w:rFonts w:eastAsia="Verdana"/>
          <w:bCs/>
          <w:sz w:val="18"/>
          <w:szCs w:val="18"/>
          <w:lang w:val="en-GB" w:eastAsia="en-GB"/>
        </w:rPr>
        <w:t>AE</w:t>
      </w:r>
      <w:r w:rsidR="00194B01" w:rsidRPr="00EA5AD1">
        <w:rPr>
          <w:rFonts w:eastAsia="Verdana"/>
          <w:bCs/>
          <w:sz w:val="18"/>
          <w:szCs w:val="18"/>
          <w:lang w:val="en-GB" w:eastAsia="en-GB"/>
        </w:rPr>
        <w:t>S may be imposed as a legal obligation where the results of such studies are considered critical for the assessmen</w:t>
      </w:r>
      <w:r w:rsidR="00194B01" w:rsidRPr="00452111">
        <w:rPr>
          <w:rFonts w:eastAsia="Verdana"/>
          <w:bCs/>
          <w:sz w:val="18"/>
          <w:szCs w:val="18"/>
          <w:lang w:val="en-GB" w:eastAsia="en-GB"/>
        </w:rPr>
        <w:t xml:space="preserve">t of the benefit-risk balance of a medicinal product; an example of such circumstance is where it is deemed necessary to verify the implementation of risk minimisation measures introduced to prevent occurrence of a severe </w:t>
      </w:r>
      <w:r w:rsidR="003F3A0D">
        <w:rPr>
          <w:rFonts w:eastAsia="Verdana"/>
          <w:bCs/>
          <w:sz w:val="18"/>
          <w:szCs w:val="18"/>
          <w:lang w:val="en-GB" w:eastAsia="en-GB"/>
        </w:rPr>
        <w:t>adverse reaction</w:t>
      </w:r>
      <w:r w:rsidR="00194B01" w:rsidRPr="00452111">
        <w:rPr>
          <w:rFonts w:eastAsia="Verdana"/>
          <w:bCs/>
          <w:sz w:val="18"/>
          <w:szCs w:val="18"/>
          <w:lang w:val="en-GB" w:eastAsia="en-GB"/>
        </w:rPr>
        <w:t xml:space="preserve">; </w:t>
      </w:r>
      <w:r w:rsidR="003C1138">
        <w:rPr>
          <w:rFonts w:eastAsia="Verdana"/>
          <w:bCs/>
          <w:sz w:val="18"/>
          <w:szCs w:val="18"/>
          <w:lang w:val="en-GB" w:eastAsia="en-GB"/>
        </w:rPr>
        <w:t>disease</w:t>
      </w:r>
      <w:r w:rsidR="003C1138" w:rsidRPr="00452111">
        <w:rPr>
          <w:rFonts w:eastAsia="Verdana"/>
          <w:bCs/>
          <w:sz w:val="18"/>
          <w:szCs w:val="18"/>
          <w:lang w:val="en-GB" w:eastAsia="en-GB"/>
        </w:rPr>
        <w:t xml:space="preserve"> </w:t>
      </w:r>
      <w:r w:rsidR="00194B01" w:rsidRPr="00452111">
        <w:rPr>
          <w:rFonts w:eastAsia="Verdana"/>
          <w:bCs/>
          <w:sz w:val="18"/>
          <w:szCs w:val="18"/>
          <w:lang w:val="en-GB" w:eastAsia="en-GB"/>
        </w:rPr>
        <w:t>registries are very important sources of information in such situations as they may provide data on the everyday clinical practice. For such studies, the study protocol needs to be agreed between the MAH and the registry coordinators before being endorsed by the P</w:t>
      </w:r>
      <w:r w:rsidR="002B7026">
        <w:rPr>
          <w:rFonts w:eastAsia="Verdana"/>
          <w:bCs/>
          <w:sz w:val="18"/>
          <w:szCs w:val="18"/>
          <w:lang w:val="en-GB" w:eastAsia="en-GB"/>
        </w:rPr>
        <w:t>harmacovigilance Risk Assessment Committee (P</w:t>
      </w:r>
      <w:r w:rsidR="00194B01" w:rsidRPr="00452111">
        <w:rPr>
          <w:rFonts w:eastAsia="Verdana"/>
          <w:bCs/>
          <w:sz w:val="18"/>
          <w:szCs w:val="18"/>
          <w:lang w:val="en-GB" w:eastAsia="en-GB"/>
        </w:rPr>
        <w:t>RAC</w:t>
      </w:r>
      <w:r w:rsidR="002B7026">
        <w:rPr>
          <w:rFonts w:eastAsia="Verdana"/>
          <w:bCs/>
          <w:sz w:val="18"/>
          <w:szCs w:val="18"/>
          <w:lang w:val="en-GB" w:eastAsia="en-GB"/>
        </w:rPr>
        <w:t>)</w:t>
      </w:r>
      <w:r w:rsidR="00194B01" w:rsidRPr="00452111">
        <w:rPr>
          <w:rFonts w:eastAsia="Verdana"/>
          <w:bCs/>
          <w:sz w:val="18"/>
          <w:szCs w:val="18"/>
          <w:lang w:val="en-GB" w:eastAsia="en-GB"/>
        </w:rPr>
        <w:t>; the PRAC</w:t>
      </w:r>
      <w:r w:rsidR="00194B01" w:rsidRPr="00225E87">
        <w:rPr>
          <w:rFonts w:eastAsia="Verdana"/>
          <w:bCs/>
          <w:sz w:val="18"/>
          <w:szCs w:val="18"/>
          <w:lang w:val="en-GB" w:eastAsia="en-GB"/>
        </w:rPr>
        <w:t xml:space="preserve"> may also request amendments which may need to be discussed by the MAH and the registry </w:t>
      </w:r>
      <w:r w:rsidR="004923DD" w:rsidRPr="00225E87">
        <w:rPr>
          <w:rFonts w:eastAsia="Verdana"/>
          <w:bCs/>
          <w:sz w:val="18"/>
          <w:szCs w:val="18"/>
          <w:lang w:val="en-GB" w:eastAsia="en-GB"/>
        </w:rPr>
        <w:t>coordinator</w:t>
      </w:r>
      <w:r w:rsidR="004923DD" w:rsidRPr="00A14372">
        <w:rPr>
          <w:rFonts w:eastAsia="Verdana"/>
          <w:bCs/>
          <w:sz w:val="18"/>
          <w:szCs w:val="18"/>
          <w:lang w:val="en-GB" w:eastAsia="en-GB"/>
        </w:rPr>
        <w:t>s</w:t>
      </w:r>
      <w:r w:rsidR="00194B01" w:rsidRPr="00A14372">
        <w:rPr>
          <w:rFonts w:eastAsia="Verdana"/>
          <w:bCs/>
          <w:sz w:val="18"/>
          <w:szCs w:val="18"/>
          <w:lang w:val="en-GB" w:eastAsia="en-GB"/>
        </w:rPr>
        <w:t xml:space="preserve">. </w:t>
      </w:r>
    </w:p>
    <w:p w:rsidR="00D57097" w:rsidRDefault="00D64049" w:rsidP="00452111">
      <w:pPr>
        <w:pStyle w:val="Default"/>
        <w:spacing w:after="140" w:line="280" w:lineRule="exact"/>
        <w:rPr>
          <w:rFonts w:eastAsia="Verdana"/>
          <w:bCs/>
          <w:sz w:val="18"/>
          <w:szCs w:val="18"/>
          <w:lang w:val="en-GB" w:eastAsia="en-GB"/>
        </w:rPr>
      </w:pPr>
      <w:r w:rsidRPr="00A55046">
        <w:rPr>
          <w:rFonts w:eastAsia="Verdana"/>
          <w:bCs/>
          <w:sz w:val="18"/>
          <w:szCs w:val="18"/>
          <w:lang w:val="en-GB" w:eastAsia="en-GB"/>
        </w:rPr>
        <w:lastRenderedPageBreak/>
        <w:t>The range of situations where MAHs may contact registries to get data is therefore potentially very large and e</w:t>
      </w:r>
      <w:r w:rsidRPr="00225E87">
        <w:rPr>
          <w:rFonts w:eastAsia="Verdana"/>
          <w:bCs/>
          <w:sz w:val="18"/>
          <w:szCs w:val="18"/>
          <w:lang w:val="en-GB" w:eastAsia="en-GB"/>
        </w:rPr>
        <w:t xml:space="preserve">ach situation may require different agreements for data sharing, for example provision of statistical reports generated by the registry, of electronic tables of study results to be included in a study reports, of </w:t>
      </w:r>
      <w:r w:rsidR="002B7026">
        <w:rPr>
          <w:rFonts w:eastAsia="Verdana"/>
          <w:bCs/>
          <w:sz w:val="18"/>
          <w:szCs w:val="18"/>
          <w:lang w:val="en-GB" w:eastAsia="en-GB"/>
        </w:rPr>
        <w:t>pseudo</w:t>
      </w:r>
      <w:r w:rsidR="002B7026" w:rsidRPr="00225E87">
        <w:rPr>
          <w:rFonts w:eastAsia="Verdana"/>
          <w:bCs/>
          <w:sz w:val="18"/>
          <w:szCs w:val="18"/>
          <w:lang w:val="en-GB" w:eastAsia="en-GB"/>
        </w:rPr>
        <w:t>nymis</w:t>
      </w:r>
      <w:r w:rsidR="002B7026" w:rsidRPr="00A14372">
        <w:rPr>
          <w:rFonts w:eastAsia="Verdana"/>
          <w:bCs/>
          <w:sz w:val="18"/>
          <w:szCs w:val="18"/>
          <w:lang w:val="en-GB" w:eastAsia="en-GB"/>
        </w:rPr>
        <w:t xml:space="preserve">ed </w:t>
      </w:r>
      <w:r w:rsidRPr="00A14372">
        <w:rPr>
          <w:rFonts w:eastAsia="Verdana"/>
          <w:bCs/>
          <w:sz w:val="18"/>
          <w:szCs w:val="18"/>
          <w:lang w:val="en-GB" w:eastAsia="en-GB"/>
        </w:rPr>
        <w:t>analytical datasets including only the data elements to be analysed, or of study reports to be submitted by companies to regulators. Provisions of pseudonymised patient-level data or analytical datasets to companies are generally not acce</w:t>
      </w:r>
      <w:r w:rsidRPr="001E568B">
        <w:rPr>
          <w:rFonts w:eastAsia="Verdana"/>
          <w:bCs/>
          <w:sz w:val="18"/>
          <w:szCs w:val="18"/>
          <w:lang w:val="en-GB" w:eastAsia="en-GB"/>
        </w:rPr>
        <w:t>pted by registries for policy reasons or concerns about patient privacy. In such cases, data analysis m</w:t>
      </w:r>
      <w:r w:rsidR="0053115C">
        <w:rPr>
          <w:rFonts w:eastAsia="Verdana"/>
          <w:bCs/>
          <w:sz w:val="18"/>
          <w:szCs w:val="18"/>
          <w:lang w:val="en-GB" w:eastAsia="en-GB"/>
        </w:rPr>
        <w:t>ight</w:t>
      </w:r>
      <w:r w:rsidRPr="001E568B">
        <w:rPr>
          <w:rFonts w:eastAsia="Verdana"/>
          <w:bCs/>
          <w:sz w:val="18"/>
          <w:szCs w:val="18"/>
          <w:lang w:val="en-GB" w:eastAsia="en-GB"/>
        </w:rPr>
        <w:t xml:space="preserve"> be performed either by the registry team or by a trusted third-party. Irrespective of the type of information provided by the registry, it is recommended that agreements between registries and companies include a provision on the use of the ENCePP Code of Conduct on scientific independence and transparency </w:t>
      </w:r>
      <w:r w:rsidR="00DC72AC" w:rsidRPr="00EA5AD1">
        <w:rPr>
          <w:rFonts w:eastAsia="Verdana"/>
          <w:bCs/>
          <w:sz w:val="18"/>
          <w:szCs w:val="18"/>
          <w:lang w:val="en-GB" w:eastAsia="en-GB"/>
        </w:rPr>
        <w:fldChar w:fldCharType="begin"/>
      </w:r>
      <w:r w:rsidR="005E2E45">
        <w:rPr>
          <w:rFonts w:eastAsia="Verdana"/>
          <w:bCs/>
          <w:sz w:val="18"/>
          <w:szCs w:val="18"/>
          <w:lang w:val="en-GB" w:eastAsia="en-GB"/>
        </w:rPr>
        <w:instrText xml:space="preserve"> ADDIN ZOTERO_ITEM CSL_CITATION {"citationID":"a2f3flb09i3","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DC72AC" w:rsidRPr="00EA5AD1">
        <w:rPr>
          <w:rFonts w:eastAsia="Verdana"/>
          <w:bCs/>
          <w:sz w:val="18"/>
          <w:szCs w:val="18"/>
          <w:lang w:val="en-GB" w:eastAsia="en-GB"/>
        </w:rPr>
        <w:fldChar w:fldCharType="separate"/>
      </w:r>
      <w:r w:rsidR="005E2E45" w:rsidRPr="005E2E45">
        <w:rPr>
          <w:sz w:val="18"/>
        </w:rPr>
        <w:t>(15)</w:t>
      </w:r>
      <w:r w:rsidR="00DC72AC" w:rsidRPr="00EA5AD1">
        <w:rPr>
          <w:rFonts w:eastAsia="Verdana"/>
          <w:bCs/>
          <w:sz w:val="18"/>
          <w:szCs w:val="18"/>
          <w:lang w:val="en-GB" w:eastAsia="en-GB"/>
        </w:rPr>
        <w:fldChar w:fldCharType="end"/>
      </w:r>
      <w:r w:rsidR="00CA6CB2" w:rsidRPr="00EA5AD1">
        <w:rPr>
          <w:rFonts w:eastAsia="Verdana"/>
          <w:bCs/>
          <w:sz w:val="18"/>
          <w:szCs w:val="18"/>
          <w:lang w:val="en-GB" w:eastAsia="en-GB"/>
        </w:rPr>
        <w:t xml:space="preserve"> </w:t>
      </w:r>
      <w:r w:rsidR="00BC125B" w:rsidRPr="00EA5AD1">
        <w:rPr>
          <w:rFonts w:eastAsia="Verdana"/>
          <w:bCs/>
          <w:sz w:val="18"/>
          <w:szCs w:val="18"/>
          <w:lang w:val="en-GB" w:eastAsia="en-GB"/>
        </w:rPr>
        <w:t>(or the ADVANCE Code of Conduct for collaborative vaccine studies</w:t>
      </w:r>
      <w:r w:rsidR="00DC72AC" w:rsidRPr="00D62F0E">
        <w:rPr>
          <w:rFonts w:eastAsia="Verdana"/>
          <w:bCs/>
          <w:sz w:val="18"/>
          <w:szCs w:val="18"/>
          <w:lang w:val="en-GB" w:eastAsia="en-GB"/>
        </w:rPr>
        <w:t xml:space="preserve"> </w:t>
      </w:r>
      <w:r w:rsidR="00DC72AC" w:rsidRPr="00EA5AD1">
        <w:rPr>
          <w:rFonts w:eastAsia="Verdana"/>
          <w:bCs/>
          <w:sz w:val="18"/>
          <w:szCs w:val="18"/>
          <w:lang w:val="en-GB" w:eastAsia="en-GB"/>
        </w:rPr>
        <w:fldChar w:fldCharType="begin"/>
      </w:r>
      <w:r w:rsidR="005E2E45">
        <w:rPr>
          <w:rFonts w:eastAsia="Verdana"/>
          <w:bCs/>
          <w:sz w:val="18"/>
          <w:szCs w:val="18"/>
          <w:lang w:val="en-GB" w:eastAsia="en-GB"/>
        </w:rPr>
        <w:instrText xml:space="preserve"> ADDIN ZOTERO_ITEM CSL_CITATION {"citationID":"a18bgqm2gt2","properties":{"formattedCitation":"(29)","plainCitation":"(29)"},"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DC72AC" w:rsidRPr="00EA5AD1">
        <w:rPr>
          <w:rFonts w:eastAsia="Verdana"/>
          <w:bCs/>
          <w:sz w:val="18"/>
          <w:szCs w:val="18"/>
          <w:lang w:val="en-GB" w:eastAsia="en-GB"/>
        </w:rPr>
        <w:fldChar w:fldCharType="separate"/>
      </w:r>
      <w:r w:rsidR="005E2E45" w:rsidRPr="005E2E45">
        <w:rPr>
          <w:sz w:val="18"/>
        </w:rPr>
        <w:t>(2</w:t>
      </w:r>
      <w:r w:rsidR="0083164A">
        <w:rPr>
          <w:sz w:val="18"/>
        </w:rPr>
        <w:t>8</w:t>
      </w:r>
      <w:r w:rsidR="005E2E45" w:rsidRPr="005E2E45">
        <w:rPr>
          <w:sz w:val="18"/>
        </w:rPr>
        <w:t>)</w:t>
      </w:r>
      <w:r w:rsidR="00DC72AC" w:rsidRPr="00EA5AD1">
        <w:rPr>
          <w:rFonts w:eastAsia="Verdana"/>
          <w:bCs/>
          <w:sz w:val="18"/>
          <w:szCs w:val="18"/>
          <w:lang w:val="en-GB" w:eastAsia="en-GB"/>
        </w:rPr>
        <w:fldChar w:fldCharType="end"/>
      </w:r>
      <w:r w:rsidR="00BC125B" w:rsidRPr="00EA5AD1">
        <w:rPr>
          <w:rFonts w:eastAsia="Verdana"/>
          <w:bCs/>
          <w:sz w:val="18"/>
          <w:szCs w:val="18"/>
          <w:lang w:val="en-GB" w:eastAsia="en-GB"/>
        </w:rPr>
        <w:t>)</w:t>
      </w:r>
      <w:r w:rsidRPr="00EA5AD1">
        <w:rPr>
          <w:rFonts w:eastAsia="Verdana"/>
          <w:bCs/>
          <w:sz w:val="18"/>
          <w:szCs w:val="18"/>
          <w:lang w:val="en-GB" w:eastAsia="en-GB"/>
        </w:rPr>
        <w:t xml:space="preserve">. </w:t>
      </w:r>
      <w:r w:rsidR="00D62F0E" w:rsidRPr="006E7959">
        <w:rPr>
          <w:sz w:val="18"/>
          <w:szCs w:val="18"/>
        </w:rPr>
        <w:t>Additional national provisions m</w:t>
      </w:r>
      <w:r w:rsidR="00641571">
        <w:rPr>
          <w:sz w:val="18"/>
          <w:szCs w:val="18"/>
        </w:rPr>
        <w:t>ay</w:t>
      </w:r>
      <w:r w:rsidR="00D62F0E" w:rsidRPr="006E7959">
        <w:rPr>
          <w:sz w:val="18"/>
          <w:szCs w:val="18"/>
        </w:rPr>
        <w:t xml:space="preserve"> be in place.</w:t>
      </w:r>
      <w:r w:rsidRPr="00D62F0E">
        <w:rPr>
          <w:rFonts w:eastAsia="Verdana"/>
          <w:bCs/>
          <w:sz w:val="18"/>
          <w:szCs w:val="18"/>
          <w:lang w:val="en-GB" w:eastAsia="en-GB"/>
        </w:rPr>
        <w:t xml:space="preserve"> </w:t>
      </w:r>
    </w:p>
    <w:p w:rsidR="005E3A32" w:rsidRPr="0029175B" w:rsidRDefault="00D64049" w:rsidP="005E3A32">
      <w:pPr>
        <w:pStyle w:val="Heading4Agency"/>
      </w:pPr>
      <w:bookmarkStart w:id="112" w:name="_Toc528934951"/>
      <w:r w:rsidRPr="0029175B">
        <w:t>Data sharing with regulators</w:t>
      </w:r>
      <w:bookmarkEnd w:id="112"/>
    </w:p>
    <w:p w:rsidR="00D57097" w:rsidRPr="0029175B" w:rsidRDefault="00D64049" w:rsidP="00D57097">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Regulators also need data on disease epidemiology, standards of care</w:t>
      </w:r>
      <w:r w:rsidR="00773CD6">
        <w:rPr>
          <w:rFonts w:eastAsia="Verdana"/>
          <w:bCs/>
          <w:sz w:val="18"/>
          <w:szCs w:val="18"/>
          <w:lang w:val="en-GB" w:eastAsia="en-GB"/>
        </w:rPr>
        <w:t>,</w:t>
      </w:r>
      <w:r w:rsidRPr="0029175B">
        <w:rPr>
          <w:rFonts w:eastAsia="Verdana"/>
          <w:bCs/>
          <w:sz w:val="18"/>
          <w:szCs w:val="18"/>
          <w:lang w:val="en-GB" w:eastAsia="en-GB"/>
        </w:rPr>
        <w:t xml:space="preserve"> and </w:t>
      </w:r>
      <w:r w:rsidR="00773CD6">
        <w:rPr>
          <w:rFonts w:eastAsia="Verdana"/>
          <w:bCs/>
          <w:sz w:val="18"/>
          <w:szCs w:val="18"/>
          <w:lang w:val="en-GB" w:eastAsia="en-GB"/>
        </w:rPr>
        <w:t xml:space="preserve">safety and </w:t>
      </w:r>
      <w:r w:rsidRPr="0029175B">
        <w:rPr>
          <w:rFonts w:eastAsia="Verdana"/>
          <w:bCs/>
          <w:sz w:val="18"/>
          <w:szCs w:val="18"/>
          <w:lang w:val="en-GB" w:eastAsia="en-GB"/>
        </w:rPr>
        <w:t xml:space="preserve">effectiveness of medicinal products. </w:t>
      </w:r>
      <w:r w:rsidR="00950368" w:rsidRPr="0029175B">
        <w:rPr>
          <w:rFonts w:eastAsia="Verdana"/>
          <w:bCs/>
          <w:sz w:val="18"/>
          <w:szCs w:val="18"/>
          <w:lang w:val="en-GB" w:eastAsia="en-GB"/>
        </w:rPr>
        <w:t xml:space="preserve">In some circumstances, regulatory authorities may directly contact registry coordinators to get access to data. </w:t>
      </w:r>
      <w:r w:rsidR="00773CD6">
        <w:rPr>
          <w:rFonts w:eastAsia="Verdana"/>
          <w:bCs/>
          <w:sz w:val="18"/>
          <w:szCs w:val="18"/>
          <w:lang w:val="en-GB" w:eastAsia="en-GB"/>
        </w:rPr>
        <w:t>For safety, t</w:t>
      </w:r>
      <w:r w:rsidR="00950368" w:rsidRPr="0029175B">
        <w:rPr>
          <w:rFonts w:eastAsia="Verdana"/>
          <w:bCs/>
          <w:sz w:val="18"/>
          <w:szCs w:val="18"/>
          <w:lang w:val="en-GB" w:eastAsia="en-GB"/>
        </w:rPr>
        <w:t>he context of such request may be:</w:t>
      </w:r>
    </w:p>
    <w:p w:rsidR="00D62F0E" w:rsidRDefault="00D64049" w:rsidP="00542E9E">
      <w:pPr>
        <w:pStyle w:val="Default"/>
        <w:numPr>
          <w:ilvl w:val="0"/>
          <w:numId w:val="23"/>
        </w:numPr>
        <w:spacing w:after="140" w:line="280" w:lineRule="exact"/>
        <w:rPr>
          <w:rFonts w:eastAsia="Verdana"/>
          <w:bCs/>
          <w:sz w:val="18"/>
          <w:szCs w:val="18"/>
          <w:lang w:val="en-GB" w:eastAsia="en-GB"/>
        </w:rPr>
      </w:pPr>
      <w:r>
        <w:rPr>
          <w:rFonts w:eastAsia="Verdana"/>
          <w:bCs/>
          <w:sz w:val="18"/>
          <w:szCs w:val="18"/>
          <w:lang w:val="en-GB" w:eastAsia="en-GB"/>
        </w:rPr>
        <w:t xml:space="preserve">signal detection, </w:t>
      </w:r>
      <w:r w:rsidRPr="006E7959">
        <w:rPr>
          <w:sz w:val="18"/>
          <w:szCs w:val="18"/>
        </w:rPr>
        <w:t xml:space="preserve">to clarify data on </w:t>
      </w:r>
      <w:r w:rsidR="00641571">
        <w:rPr>
          <w:sz w:val="18"/>
          <w:szCs w:val="18"/>
        </w:rPr>
        <w:t>adverse reac</w:t>
      </w:r>
      <w:r w:rsidR="003F3A0D">
        <w:rPr>
          <w:sz w:val="18"/>
          <w:szCs w:val="18"/>
        </w:rPr>
        <w:t>tion</w:t>
      </w:r>
      <w:r w:rsidRPr="006E7959">
        <w:rPr>
          <w:sz w:val="18"/>
          <w:szCs w:val="18"/>
        </w:rPr>
        <w:t xml:space="preserve">s submitted to </w:t>
      </w:r>
      <w:r w:rsidR="007520C8">
        <w:rPr>
          <w:sz w:val="18"/>
          <w:szCs w:val="18"/>
        </w:rPr>
        <w:t xml:space="preserve">a </w:t>
      </w:r>
      <w:r w:rsidRPr="006E7959">
        <w:rPr>
          <w:sz w:val="18"/>
          <w:szCs w:val="18"/>
        </w:rPr>
        <w:t>NCA</w:t>
      </w:r>
      <w:r w:rsidR="007520C8">
        <w:rPr>
          <w:sz w:val="18"/>
          <w:szCs w:val="18"/>
        </w:rPr>
        <w:t>;</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 xml:space="preserve">signal validation and assessment, to confirm or update the number of cases of a suspected </w:t>
      </w:r>
      <w:r w:rsidR="003F3A0D">
        <w:rPr>
          <w:rFonts w:eastAsia="Verdana"/>
          <w:bCs/>
          <w:sz w:val="18"/>
          <w:szCs w:val="18"/>
          <w:lang w:val="en-GB" w:eastAsia="en-GB"/>
        </w:rPr>
        <w:t>adverse reaction</w:t>
      </w:r>
      <w:r w:rsidRPr="0029175B">
        <w:rPr>
          <w:rFonts w:eastAsia="Verdana"/>
          <w:bCs/>
          <w:sz w:val="18"/>
          <w:szCs w:val="18"/>
          <w:lang w:val="en-GB" w:eastAsia="en-GB"/>
        </w:rPr>
        <w:t>, to get additional information on cases</w:t>
      </w:r>
      <w:r w:rsidR="00D62F0E">
        <w:rPr>
          <w:rFonts w:eastAsia="Verdana"/>
          <w:bCs/>
          <w:sz w:val="18"/>
          <w:szCs w:val="18"/>
          <w:lang w:val="en-GB" w:eastAsia="en-GB"/>
        </w:rPr>
        <w:t>,</w:t>
      </w:r>
      <w:r w:rsidRPr="0029175B">
        <w:rPr>
          <w:rFonts w:eastAsia="Verdana"/>
          <w:bCs/>
          <w:sz w:val="18"/>
          <w:szCs w:val="18"/>
          <w:lang w:val="en-GB" w:eastAsia="en-GB"/>
        </w:rPr>
        <w:t xml:space="preserve"> or to provide further evidence for or against a causal association or a new aspect of a known association</w:t>
      </w:r>
      <w:r w:rsidR="00EB16AB">
        <w:rPr>
          <w:rFonts w:eastAsia="Verdana"/>
          <w:bCs/>
          <w:sz w:val="18"/>
          <w:szCs w:val="18"/>
          <w:lang w:val="en-GB" w:eastAsia="en-GB"/>
        </w:rPr>
        <w:t>;</w:t>
      </w:r>
      <w:r w:rsidRPr="0029175B">
        <w:rPr>
          <w:rFonts w:eastAsia="Verdana"/>
          <w:bCs/>
          <w:sz w:val="18"/>
          <w:szCs w:val="18"/>
          <w:lang w:val="en-GB" w:eastAsia="en-GB"/>
        </w:rPr>
        <w:t xml:space="preserve"> </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analysis of specific aspects of a suspected causal association, such as the relationship between a suspected causal association with drug dose, concomitant medications or some patient characteristics;</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feasibility analysis for a planned registry study;</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investigation of a safety concern, either through direct analysis of data or through fundi</w:t>
      </w:r>
      <w:r w:rsidR="002B0513" w:rsidRPr="0029175B">
        <w:rPr>
          <w:rFonts w:eastAsia="Verdana"/>
          <w:bCs/>
          <w:sz w:val="18"/>
          <w:szCs w:val="18"/>
          <w:lang w:val="en-GB" w:eastAsia="en-GB"/>
        </w:rPr>
        <w:t>ng agreement with a third-party;</w:t>
      </w:r>
    </w:p>
    <w:p w:rsidR="002B0513"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assessment of the effectiveness of risk minimisation measures, for example through an analysis of the indications for which a product has been prescribed.</w:t>
      </w:r>
    </w:p>
    <w:p w:rsidR="00D57097" w:rsidRPr="0029175B" w:rsidRDefault="00D64049" w:rsidP="00D57097">
      <w:pPr>
        <w:pStyle w:val="Default"/>
        <w:spacing w:after="140" w:line="280" w:lineRule="exact"/>
        <w:rPr>
          <w:rFonts w:eastAsia="Verdana"/>
          <w:bCs/>
          <w:sz w:val="18"/>
          <w:szCs w:val="18"/>
          <w:lang w:val="en-GB" w:eastAsia="en-GB"/>
        </w:rPr>
      </w:pPr>
      <w:r>
        <w:rPr>
          <w:rFonts w:eastAsia="Verdana"/>
          <w:bCs/>
          <w:sz w:val="18"/>
          <w:szCs w:val="18"/>
          <w:lang w:val="en-GB" w:eastAsia="en-GB"/>
        </w:rPr>
        <w:t>In</w:t>
      </w:r>
      <w:r w:rsidR="00735758">
        <w:rPr>
          <w:rFonts w:eastAsia="Verdana"/>
          <w:bCs/>
          <w:sz w:val="18"/>
          <w:szCs w:val="18"/>
          <w:lang w:val="en-GB" w:eastAsia="en-GB"/>
        </w:rPr>
        <w:t xml:space="preserve"> such</w:t>
      </w:r>
      <w:r w:rsidR="00735758" w:rsidRPr="0029175B">
        <w:rPr>
          <w:rFonts w:eastAsia="Verdana"/>
          <w:bCs/>
          <w:sz w:val="18"/>
          <w:szCs w:val="18"/>
          <w:lang w:val="en-GB" w:eastAsia="en-GB"/>
        </w:rPr>
        <w:t xml:space="preserve"> </w:t>
      </w:r>
      <w:r w:rsidR="00961C90" w:rsidRPr="0029175B">
        <w:rPr>
          <w:rFonts w:eastAsia="Verdana"/>
          <w:bCs/>
          <w:sz w:val="18"/>
          <w:szCs w:val="18"/>
          <w:lang w:val="en-GB" w:eastAsia="en-GB"/>
        </w:rPr>
        <w:t xml:space="preserve">circumstances, </w:t>
      </w:r>
      <w:r>
        <w:rPr>
          <w:rFonts w:eastAsia="Verdana"/>
          <w:bCs/>
          <w:sz w:val="18"/>
          <w:szCs w:val="18"/>
          <w:lang w:val="en-GB" w:eastAsia="en-GB"/>
        </w:rPr>
        <w:t xml:space="preserve">discussions should address </w:t>
      </w:r>
      <w:r w:rsidR="00961C90" w:rsidRPr="0029175B">
        <w:rPr>
          <w:rFonts w:eastAsia="Verdana"/>
          <w:bCs/>
          <w:sz w:val="18"/>
          <w:szCs w:val="18"/>
          <w:lang w:val="en-GB" w:eastAsia="en-GB"/>
        </w:rPr>
        <w:t>patients’ privacy</w:t>
      </w:r>
      <w:r w:rsidR="00266059">
        <w:rPr>
          <w:rFonts w:eastAsia="Verdana"/>
          <w:bCs/>
          <w:sz w:val="18"/>
          <w:szCs w:val="18"/>
          <w:lang w:val="en-GB" w:eastAsia="en-GB"/>
        </w:rPr>
        <w:t>,</w:t>
      </w:r>
      <w:r w:rsidR="00961C90" w:rsidRPr="0029175B">
        <w:rPr>
          <w:rFonts w:eastAsia="Verdana"/>
          <w:bCs/>
          <w:sz w:val="18"/>
          <w:szCs w:val="18"/>
          <w:lang w:val="en-GB" w:eastAsia="en-GB"/>
        </w:rPr>
        <w:t xml:space="preserve"> the informed consent in place</w:t>
      </w:r>
      <w:r w:rsidR="00266059">
        <w:rPr>
          <w:rFonts w:eastAsia="Verdana"/>
          <w:bCs/>
          <w:sz w:val="18"/>
          <w:szCs w:val="18"/>
          <w:lang w:val="en-GB" w:eastAsia="en-GB"/>
        </w:rPr>
        <w:t xml:space="preserve"> and the</w:t>
      </w:r>
      <w:r>
        <w:rPr>
          <w:rFonts w:eastAsia="Verdana"/>
          <w:bCs/>
          <w:sz w:val="18"/>
          <w:szCs w:val="18"/>
          <w:lang w:val="en-GB" w:eastAsia="en-GB"/>
        </w:rPr>
        <w:t xml:space="preserve"> possible</w:t>
      </w:r>
      <w:r w:rsidR="00266059">
        <w:rPr>
          <w:rFonts w:eastAsia="Verdana"/>
          <w:bCs/>
          <w:sz w:val="18"/>
          <w:szCs w:val="18"/>
          <w:lang w:val="en-GB" w:eastAsia="en-GB"/>
        </w:rPr>
        <w:t xml:space="preserve"> need to re-consent patients</w:t>
      </w:r>
      <w:r w:rsidR="00961C90" w:rsidRPr="0029175B">
        <w:rPr>
          <w:rFonts w:eastAsia="Verdana"/>
          <w:bCs/>
          <w:sz w:val="18"/>
          <w:szCs w:val="18"/>
          <w:lang w:val="en-GB" w:eastAsia="en-GB"/>
        </w:rPr>
        <w:t xml:space="preserve">. </w:t>
      </w:r>
    </w:p>
    <w:p w:rsidR="00D57097" w:rsidRPr="008B040E" w:rsidRDefault="00D64049" w:rsidP="008B040E">
      <w:pPr>
        <w:pStyle w:val="Heading3Agency"/>
        <w:rPr>
          <w:rStyle w:val="Fett"/>
          <w:b/>
          <w:bCs/>
        </w:rPr>
      </w:pPr>
      <w:bookmarkStart w:id="113" w:name="_Toc528934952"/>
      <w:r w:rsidRPr="008B040E">
        <w:rPr>
          <w:rStyle w:val="Fett"/>
          <w:b/>
          <w:bCs/>
        </w:rPr>
        <w:t>Informed consent</w:t>
      </w:r>
      <w:bookmarkEnd w:id="113"/>
    </w:p>
    <w:p w:rsidR="00D57097" w:rsidRPr="0029175B" w:rsidRDefault="00D64049" w:rsidP="00D57097">
      <w:pPr>
        <w:spacing w:after="140" w:line="280" w:lineRule="exact"/>
        <w:rPr>
          <w:bCs/>
        </w:rPr>
      </w:pPr>
      <w:r w:rsidRPr="0029175B">
        <w:rPr>
          <w:bCs/>
        </w:rPr>
        <w:t>P</w:t>
      </w:r>
      <w:r w:rsidR="00FD073A" w:rsidRPr="0029175B">
        <w:rPr>
          <w:bCs/>
        </w:rPr>
        <w:t>atients</w:t>
      </w:r>
      <w:r w:rsidRPr="0029175B">
        <w:rPr>
          <w:bCs/>
        </w:rPr>
        <w:t xml:space="preserve"> need to be aware of why data is collected, what data is collected, how it will be used</w:t>
      </w:r>
      <w:r w:rsidR="00264C03">
        <w:rPr>
          <w:bCs/>
        </w:rPr>
        <w:t>,</w:t>
      </w:r>
      <w:r w:rsidRPr="0029175B">
        <w:rPr>
          <w:bCs/>
        </w:rPr>
        <w:t xml:space="preserve"> and by whom and with whom it</w:t>
      </w:r>
      <w:r w:rsidR="00C64EC9" w:rsidRPr="0029175B">
        <w:rPr>
          <w:bCs/>
        </w:rPr>
        <w:t xml:space="preserve"> </w:t>
      </w:r>
      <w:r w:rsidRPr="0029175B">
        <w:rPr>
          <w:bCs/>
        </w:rPr>
        <w:t>will be shared</w:t>
      </w:r>
      <w:r w:rsidR="000046BB">
        <w:rPr>
          <w:bCs/>
        </w:rPr>
        <w:t>,</w:t>
      </w:r>
      <w:r w:rsidRPr="0029175B">
        <w:rPr>
          <w:bCs/>
        </w:rPr>
        <w:t xml:space="preserve"> and at what level of details. In addition, some patient registries </w:t>
      </w:r>
      <w:r w:rsidR="00407321">
        <w:rPr>
          <w:bCs/>
        </w:rPr>
        <w:t>have</w:t>
      </w:r>
      <w:r w:rsidR="007B7240">
        <w:rPr>
          <w:bCs/>
        </w:rPr>
        <w:t xml:space="preserve"> been</w:t>
      </w:r>
      <w:r w:rsidRPr="0029175B">
        <w:rPr>
          <w:bCs/>
        </w:rPr>
        <w:t xml:space="preserve"> expanded to include additional data such as genetic profiling and other biochemical analyses. </w:t>
      </w:r>
      <w:r w:rsidR="007520C8">
        <w:rPr>
          <w:bCs/>
        </w:rPr>
        <w:t>This</w:t>
      </w:r>
      <w:r w:rsidRPr="0029175B">
        <w:rPr>
          <w:bCs/>
        </w:rPr>
        <w:t xml:space="preserve"> data is sensitive and it is important that patients have a good understanding of the data that could be provided to external organisations. </w:t>
      </w:r>
      <w:r w:rsidR="002B7026">
        <w:rPr>
          <w:bCs/>
        </w:rPr>
        <w:t>Principles of informed c</w:t>
      </w:r>
      <w:r w:rsidR="002A354A">
        <w:rPr>
          <w:bCs/>
        </w:rPr>
        <w:t>o</w:t>
      </w:r>
      <w:r w:rsidR="002B7026">
        <w:rPr>
          <w:bCs/>
        </w:rPr>
        <w:t>nsent should be applied in accordance with the GDPR</w:t>
      </w:r>
      <w:r w:rsidR="007C0735">
        <w:rPr>
          <w:bCs/>
        </w:rPr>
        <w:t xml:space="preserve"> </w:t>
      </w:r>
      <w:r w:rsidR="007C0735">
        <w:rPr>
          <w:bCs/>
        </w:rPr>
        <w:fldChar w:fldCharType="begin"/>
      </w:r>
      <w:r w:rsidR="00861617">
        <w:rPr>
          <w:bCs/>
        </w:rPr>
        <w:instrText xml:space="preserve"> ADDIN ZOTERO_ITEM CSL_CITATION {"citationID":"a2g12oou4f3","properties":{"formattedCitation":"(31)","plainCitation":"(31)","dontUpdate":true},"citationItems":[{"id":2257,"uris":["http://zotero.org/users/local/tAKp4fcl/items/YVXJMRVT"],"uri":["http://zotero.org/users/local/tAKp4fcl/items/YVXJMRVT"],"itemData":{"id":2257,"type":"webpage","title":"EU General Data Protection Regulation (GDPR)","URL":"https://www.eugdpr.org/"}}],"schema":"https://github.com/citation-style-language/schema/raw/master/csl-citation.json"} </w:instrText>
      </w:r>
      <w:r w:rsidR="007C0735">
        <w:rPr>
          <w:bCs/>
        </w:rPr>
        <w:fldChar w:fldCharType="separate"/>
      </w:r>
      <w:r w:rsidR="007C0735" w:rsidRPr="007C0735">
        <w:t>(3</w:t>
      </w:r>
      <w:r w:rsidR="0053115C">
        <w:t>0</w:t>
      </w:r>
      <w:r w:rsidR="007C0735" w:rsidRPr="007C0735">
        <w:t>)</w:t>
      </w:r>
      <w:r w:rsidR="007C0735">
        <w:rPr>
          <w:bCs/>
        </w:rPr>
        <w:fldChar w:fldCharType="end"/>
      </w:r>
      <w:r w:rsidR="002B7026">
        <w:rPr>
          <w:bCs/>
        </w:rPr>
        <w:t>.</w:t>
      </w:r>
    </w:p>
    <w:p w:rsidR="00D57097" w:rsidRPr="0029175B" w:rsidRDefault="00D64049" w:rsidP="00D57097">
      <w:pPr>
        <w:spacing w:after="140" w:line="280" w:lineRule="exact"/>
        <w:rPr>
          <w:bCs/>
        </w:rPr>
      </w:pPr>
      <w:r w:rsidRPr="0029175B">
        <w:rPr>
          <w:rFonts w:cs="Arial"/>
          <w:shd w:val="clear" w:color="auto" w:fill="FFFFFF"/>
        </w:rPr>
        <w:t xml:space="preserve">Patients must grant their permission to process and use their data in full knowledge of the possible benefits and risks of their participation and of the measures applied to mitigate risks. Patients must also be aware that they can restrict the scope of their consent and withdraw the consent at any time. For </w:t>
      </w:r>
      <w:r w:rsidRPr="0029175B">
        <w:rPr>
          <w:rStyle w:val="Hervorhebung"/>
          <w:rFonts w:cs="Arial"/>
          <w:bCs/>
          <w:i w:val="0"/>
          <w:shd w:val="clear" w:color="auto" w:fill="FFFFFF"/>
        </w:rPr>
        <w:t>consent</w:t>
      </w:r>
      <w:r w:rsidRPr="0029175B">
        <w:rPr>
          <w:rFonts w:cs="Arial"/>
          <w:shd w:val="clear" w:color="auto" w:fill="FFFFFF"/>
        </w:rPr>
        <w:t xml:space="preserve"> to be valid, it must be </w:t>
      </w:r>
      <w:r w:rsidRPr="0029175B">
        <w:rPr>
          <w:rFonts w:cs="Arial"/>
          <w:i/>
          <w:shd w:val="clear" w:color="auto" w:fill="FFFFFF"/>
        </w:rPr>
        <w:t>voluntary</w:t>
      </w:r>
      <w:r w:rsidRPr="0029175B">
        <w:rPr>
          <w:rFonts w:cs="Arial"/>
          <w:shd w:val="clear" w:color="auto" w:fill="FFFFFF"/>
        </w:rPr>
        <w:t xml:space="preserve"> and </w:t>
      </w:r>
      <w:r w:rsidRPr="0029175B">
        <w:rPr>
          <w:rStyle w:val="Hervorhebung"/>
          <w:rFonts w:cs="Arial"/>
          <w:bCs/>
          <w:shd w:val="clear" w:color="auto" w:fill="FFFFFF"/>
        </w:rPr>
        <w:t>informed</w:t>
      </w:r>
      <w:r w:rsidRPr="0029175B">
        <w:rPr>
          <w:rFonts w:cs="Arial"/>
          <w:shd w:val="clear" w:color="auto" w:fill="FFFFFF"/>
        </w:rPr>
        <w:t xml:space="preserve">, and the person consenting must have the </w:t>
      </w:r>
      <w:r w:rsidRPr="0029175B">
        <w:rPr>
          <w:rFonts w:cs="Arial"/>
          <w:shd w:val="clear" w:color="auto" w:fill="FFFFFF"/>
        </w:rPr>
        <w:lastRenderedPageBreak/>
        <w:t>capacity to make the decision.</w:t>
      </w:r>
      <w:r w:rsidRPr="0029175B">
        <w:rPr>
          <w:bCs/>
        </w:rPr>
        <w:t xml:space="preserve"> It is the responsibility of the treating centre to ensure that patients have consented to the recording and use of their data. For children, the consent is signed by the parent or legal guardian and children need to provide their own consent once they reach the adult age of consent. There is therefore a risk that their data could not be made available if no procedure is in place to obtain their informed consent as adults.</w:t>
      </w:r>
      <w:r w:rsidR="00A734F6">
        <w:rPr>
          <w:bCs/>
        </w:rPr>
        <w:t xml:space="preserve"> The specific situation of older people with impaired cognition (dementias) and </w:t>
      </w:r>
      <w:r w:rsidR="007B7240">
        <w:rPr>
          <w:bCs/>
        </w:rPr>
        <w:t>supported by carers needs also to be considered.</w:t>
      </w:r>
    </w:p>
    <w:p w:rsidR="00D57097" w:rsidRPr="0029175B" w:rsidRDefault="00D64049" w:rsidP="00D57097">
      <w:pPr>
        <w:spacing w:after="140" w:line="280" w:lineRule="exact"/>
      </w:pPr>
      <w:r w:rsidRPr="0029175B">
        <w:rPr>
          <w:bCs/>
        </w:rPr>
        <w:t xml:space="preserve">As the current framework for informed consent is not harmonised across countries, the informed consent process is dependent on local requirements. </w:t>
      </w:r>
      <w:r w:rsidRPr="0029175B">
        <w:t xml:space="preserve">An electronic system of informed consents would facilitate harmonisation of consent forms in all registries, and keeping track of consents, restrictions and withdrawals. This system would also support registry coordinators to get confirmation about patients consenting or not to share their data and about compliance to legal obligations. </w:t>
      </w:r>
    </w:p>
    <w:p w:rsidR="00D57097" w:rsidRPr="0029175B" w:rsidRDefault="00D64049" w:rsidP="00D57097">
      <w:pPr>
        <w:spacing w:after="140" w:line="280" w:lineRule="exact"/>
      </w:pPr>
      <w:r w:rsidRPr="0029175B">
        <w:t xml:space="preserve">If a new informed consent form is developed or if the current consent needs to be amended, it should be ensured that the informed consent is broad enough to cover all potential uses of registry data in line with the applicable legislation, including the option for data sharing/pooling between registries and across country borders and with other stakeholders including regulators and MAHs.  </w:t>
      </w:r>
    </w:p>
    <w:p w:rsidR="00D57097" w:rsidRPr="008B040E" w:rsidRDefault="00D64049" w:rsidP="008B040E">
      <w:pPr>
        <w:pStyle w:val="Heading3Agency"/>
        <w:rPr>
          <w:rStyle w:val="Fett"/>
          <w:b/>
          <w:bCs/>
        </w:rPr>
      </w:pPr>
      <w:bookmarkStart w:id="114" w:name="_Toc528934953"/>
      <w:r w:rsidRPr="008B040E">
        <w:rPr>
          <w:rStyle w:val="Fett"/>
          <w:b/>
          <w:bCs/>
        </w:rPr>
        <w:t>Data security</w:t>
      </w:r>
      <w:bookmarkEnd w:id="114"/>
    </w:p>
    <w:p w:rsidR="00FD073A" w:rsidRPr="0029175B" w:rsidRDefault="00D64049" w:rsidP="0056350F">
      <w:pPr>
        <w:pStyle w:val="BodytextAgency"/>
      </w:pPr>
      <w:r w:rsidRPr="0029175B">
        <w:t xml:space="preserve">Security measures should be implemented to maintain the privacy of patients enrolled in a registry, described and documented in standard operating procedures. Security measures should be applied for data collection, storage, archiving, transmission and access. </w:t>
      </w:r>
      <w:r w:rsidR="00C80816" w:rsidRPr="0029175B">
        <w:t>Each registry has the responsibility to ensure the security of the data collected in line to the provisions of the GDPR</w:t>
      </w:r>
      <w:r w:rsidR="008F5B69">
        <w:t xml:space="preserve"> </w:t>
      </w:r>
      <w:r w:rsidR="008F5B69">
        <w:fldChar w:fldCharType="begin"/>
      </w:r>
      <w:r w:rsidR="00861617">
        <w:instrText xml:space="preserve"> ADDIN ZOTERO_ITEM CSL_CITATION {"citationID":"avj4267oer","properties":{"formattedCitation":"(31)","plainCitation":"(31)","dontUpdate":true},"citationItems":[{"id":2257,"uris":["http://zotero.org/users/local/tAKp4fcl/items/YVXJMRVT"],"uri":["http://zotero.org/users/local/tAKp4fcl/items/YVXJMRVT"],"itemData":{"id":2257,"type":"webpage","title":"EU General Data Protection Regulation (GDPR)","URL":"https://www.eugdpr.org/"}}],"schema":"https://github.com/citation-style-language/schema/raw/master/csl-citation.json"} </w:instrText>
      </w:r>
      <w:r w:rsidR="008F5B69">
        <w:fldChar w:fldCharType="separate"/>
      </w:r>
      <w:r w:rsidR="003039A5" w:rsidRPr="00440E0F">
        <w:t>(3</w:t>
      </w:r>
      <w:r w:rsidR="0053115C">
        <w:t>0</w:t>
      </w:r>
      <w:r w:rsidR="003039A5" w:rsidRPr="00440E0F">
        <w:t>)</w:t>
      </w:r>
      <w:r w:rsidR="008F5B69">
        <w:fldChar w:fldCharType="end"/>
      </w:r>
      <w:r w:rsidR="00C80816" w:rsidRPr="0029175B">
        <w:t>.</w:t>
      </w:r>
      <w:r w:rsidRPr="0029175B">
        <w:t xml:space="preserve">  </w:t>
      </w:r>
    </w:p>
    <w:p w:rsidR="00FD073A" w:rsidRPr="0029175B" w:rsidRDefault="00D64049">
      <w:pPr>
        <w:rPr>
          <w:rFonts w:eastAsia="Verdana" w:cs="Verdana"/>
        </w:rPr>
      </w:pPr>
      <w:r w:rsidRPr="0029175B">
        <w:br w:type="page"/>
      </w:r>
    </w:p>
    <w:p w:rsidR="00AD4CBC" w:rsidRPr="0029175B" w:rsidRDefault="00D64049" w:rsidP="00542E9E">
      <w:pPr>
        <w:pStyle w:val="Heading1Agency"/>
      </w:pPr>
      <w:bookmarkStart w:id="115" w:name="_Toc528934954"/>
      <w:r w:rsidRPr="0029175B">
        <w:lastRenderedPageBreak/>
        <w:t>Registry stud</w:t>
      </w:r>
      <w:r w:rsidR="00542E9E" w:rsidRPr="0029175B">
        <w:t>ies</w:t>
      </w:r>
      <w:bookmarkEnd w:id="115"/>
    </w:p>
    <w:p w:rsidR="00542E9E" w:rsidRPr="0029175B" w:rsidRDefault="00D64049" w:rsidP="00CD4352">
      <w:pPr>
        <w:pStyle w:val="Heading2Agency"/>
      </w:pPr>
      <w:bookmarkStart w:id="116" w:name="_Toc528934955"/>
      <w:r w:rsidRPr="0029175B">
        <w:t>Regulatory context</w:t>
      </w:r>
      <w:bookmarkEnd w:id="116"/>
    </w:p>
    <w:p w:rsidR="00B112DF" w:rsidRDefault="00D64049" w:rsidP="00926A4F">
      <w:pPr>
        <w:pStyle w:val="BodytextAgency"/>
      </w:pPr>
      <w:r w:rsidRPr="0029175B">
        <w:t>A number of obligations described in the legislation (Directive 2001/83/EC</w:t>
      </w:r>
      <w:r w:rsidR="00A715BD" w:rsidRPr="0029175B">
        <w:t xml:space="preserve"> and Commission Implementing Regulation (EC) No 520/2012</w:t>
      </w:r>
      <w:r w:rsidRPr="0029175B">
        <w:t>) apply to the MAHs when they conduct post-authorisation studies involving their own products, irrespective of the data source used for the study, and the</w:t>
      </w:r>
      <w:r w:rsidR="009B30C5" w:rsidRPr="0029175B">
        <w:t>se obligations therefore</w:t>
      </w:r>
      <w:r w:rsidRPr="0029175B">
        <w:t xml:space="preserve"> also apply to registry studies</w:t>
      </w:r>
      <w:r w:rsidR="00DC5393" w:rsidRPr="0029175B">
        <w:t xml:space="preserve"> </w:t>
      </w:r>
      <w:r w:rsidR="00DC5393" w:rsidRPr="0029175B">
        <w:fldChar w:fldCharType="begin"/>
      </w:r>
      <w:r w:rsidR="00861617">
        <w:instrText xml:space="preserve"> ADDIN ZOTERO_ITEM CSL_CITATION {"citationID":"a2aqt1g2mq8","properties":{"formattedCitation":"(32)","plainCitation":"(32)","dontUpdate":true},"citationItems":[{"id":2292,"uris":["http://zotero.org/users/local/tAKp4fcl/items/42AJ3EXR"],"uri":["http://zotero.org/users/local/tAKp4fcl/items/42AJ3EXR"],"itemData":{"id":2292,"type":"article","title":"DIRECTIVE 2001/83/EC OF THE EUROPEAN PARLIAMENT AND OF THE COUNCIL of 6 November 2001 on the Community code relating to medicinal products for human use","URL":"https://ec.europa.eu/health//sites/health/files/files/eudralex/vol-1/dir_2001_83_consol_2012/dir_2001_83_cons_2012_en.pdf","author":[{"literal":"European Commission"}]}}],"schema":"https://github.com/citation-style-language/schema/raw/master/csl-citation.json"} </w:instrText>
      </w:r>
      <w:r w:rsidR="00DC5393" w:rsidRPr="0029175B">
        <w:fldChar w:fldCharType="separate"/>
      </w:r>
      <w:r w:rsidR="003039A5" w:rsidRPr="00440E0F">
        <w:t>(3</w:t>
      </w:r>
      <w:r w:rsidR="0053115C">
        <w:t>1</w:t>
      </w:r>
      <w:r w:rsidR="003039A5" w:rsidRPr="00440E0F">
        <w:t>)</w:t>
      </w:r>
      <w:r w:rsidR="00DC5393" w:rsidRPr="0029175B">
        <w:fldChar w:fldCharType="end"/>
      </w:r>
      <w:r w:rsidR="00DC5393" w:rsidRPr="0029175B">
        <w:t xml:space="preserve"> </w:t>
      </w:r>
      <w:r w:rsidR="00DC5393" w:rsidRPr="0029175B">
        <w:fldChar w:fldCharType="begin"/>
      </w:r>
      <w:r w:rsidR="00861617">
        <w:instrText xml:space="preserve"> ADDIN ZOTERO_ITEM CSL_CITATION {"citationID":"a2ldkbg8jvg","properties":{"formattedCitation":"(33)","plainCitation":"(33)","dontUpdate":true},"citationItems":[{"id":2286,"uris":["http://zotero.org/users/local/tAKp4fcl/items/4EGDRTPJ"],"uri":["http://zotero.org/users/local/tAKp4fcl/items/4EGDRTPJ"],"itemData":{"id":2286,"type":"article","title":"COMMISSION IMPLEMENTING REGULATION (EU) No 520/2012 of 19 June 2012 on the performance of pharmacovigilance activities provided for in Regulation (EC) No 726/2004 of the European Parliament and of the Council and Directive 2001/83/EC of the European Parliament and of the Council (Text with EEA relevance)","URL":"https://eur-lex.europa.eu/LexUriServ/LexUriServ.do?uri=OJ:L:2012:159:0005:0025:EN:PDF","author":[{"literal":"European Commission"}]}}],"schema":"https://github.com/citation-style-language/schema/raw/master/csl-citation.json"} </w:instrText>
      </w:r>
      <w:r w:rsidR="00DC5393" w:rsidRPr="0029175B">
        <w:fldChar w:fldCharType="separate"/>
      </w:r>
      <w:r w:rsidR="003039A5" w:rsidRPr="00440E0F">
        <w:t>(3</w:t>
      </w:r>
      <w:r w:rsidR="0053115C">
        <w:t>2</w:t>
      </w:r>
      <w:r w:rsidR="003039A5" w:rsidRPr="00440E0F">
        <w:t>)</w:t>
      </w:r>
      <w:r w:rsidR="00DC5393" w:rsidRPr="0029175B">
        <w:fldChar w:fldCharType="end"/>
      </w:r>
      <w:r w:rsidRPr="0029175B">
        <w:t>.</w:t>
      </w:r>
    </w:p>
    <w:p w:rsidR="00F35356" w:rsidRPr="0029175B" w:rsidRDefault="00D64049" w:rsidP="00926A4F">
      <w:pPr>
        <w:pStyle w:val="BodytextAgency"/>
      </w:pPr>
      <w:r w:rsidRPr="0029175B">
        <w:t>A</w:t>
      </w:r>
      <w:r w:rsidR="00F47A3A" w:rsidRPr="0029175B">
        <w:t xml:space="preserve"> non-interventional </w:t>
      </w:r>
      <w:r w:rsidR="009B30C5" w:rsidRPr="0029175B">
        <w:t>post-authorisation safety</w:t>
      </w:r>
      <w:r w:rsidR="00505D67" w:rsidRPr="0029175B">
        <w:t xml:space="preserve"> stud</w:t>
      </w:r>
      <w:r w:rsidR="00F47A3A" w:rsidRPr="0029175B">
        <w:t>y</w:t>
      </w:r>
      <w:r w:rsidR="00505D67" w:rsidRPr="0029175B">
        <w:t xml:space="preserve"> </w:t>
      </w:r>
      <w:r w:rsidR="009B30C5" w:rsidRPr="0029175B">
        <w:t xml:space="preserve">(PASS) </w:t>
      </w:r>
      <w:r w:rsidR="00505D67" w:rsidRPr="0029175B">
        <w:t xml:space="preserve">may be </w:t>
      </w:r>
      <w:r w:rsidR="00F47A3A" w:rsidRPr="0029175B">
        <w:t>initiated, managed or financed</w:t>
      </w:r>
      <w:r w:rsidR="00926A4F" w:rsidRPr="0029175B">
        <w:t xml:space="preserve"> </w:t>
      </w:r>
      <w:r w:rsidR="00505D67" w:rsidRPr="0029175B">
        <w:t xml:space="preserve">by a MAH </w:t>
      </w:r>
      <w:r w:rsidR="00F47A3A" w:rsidRPr="0029175B">
        <w:t>voluntarily or pursuant to obligations imposed by regulatory authorities</w:t>
      </w:r>
      <w:r w:rsidR="00F40D77">
        <w:t xml:space="preserve"> (20)</w:t>
      </w:r>
      <w:r w:rsidR="00F47A3A" w:rsidRPr="0029175B">
        <w:t>.</w:t>
      </w:r>
      <w:r w:rsidR="000B03A6" w:rsidRPr="0029175B">
        <w:t xml:space="preserve"> </w:t>
      </w:r>
      <w:r w:rsidR="00690273" w:rsidRPr="0029175B">
        <w:t>Article</w:t>
      </w:r>
      <w:r w:rsidR="00A46941" w:rsidRPr="0029175B">
        <w:t xml:space="preserve"> 107m of Directive 2001/83/EC describes the obligations to be followed</w:t>
      </w:r>
      <w:r w:rsidR="00A41892" w:rsidRPr="0029175B">
        <w:t xml:space="preserve"> for </w:t>
      </w:r>
      <w:r w:rsidR="002A354A">
        <w:t xml:space="preserve">all </w:t>
      </w:r>
      <w:r w:rsidR="00A41892" w:rsidRPr="0029175B">
        <w:t>studies,</w:t>
      </w:r>
      <w:r w:rsidR="00A46941" w:rsidRPr="0029175B">
        <w:t xml:space="preserve"> and </w:t>
      </w:r>
      <w:r w:rsidR="00690273" w:rsidRPr="0029175B">
        <w:t>A</w:t>
      </w:r>
      <w:r w:rsidR="00A46941" w:rsidRPr="0029175B">
        <w:t xml:space="preserve">rticles 107n to 107q provide additional obligations </w:t>
      </w:r>
      <w:r w:rsidR="00FE412C" w:rsidRPr="0029175B">
        <w:t>for imposed studies</w:t>
      </w:r>
      <w:r w:rsidR="00A46941" w:rsidRPr="0029175B">
        <w:t xml:space="preserve">. </w:t>
      </w:r>
      <w:r w:rsidR="00862055" w:rsidRPr="0029175B">
        <w:t>According to th</w:t>
      </w:r>
      <w:r w:rsidR="00A715BD" w:rsidRPr="0029175B">
        <w:t>is</w:t>
      </w:r>
      <w:r w:rsidR="00862055" w:rsidRPr="0029175B">
        <w:t xml:space="preserve"> legislation, </w:t>
      </w:r>
      <w:r w:rsidR="00E84928" w:rsidRPr="0029175B">
        <w:t xml:space="preserve">the </w:t>
      </w:r>
      <w:r w:rsidR="00690273" w:rsidRPr="0029175B">
        <w:t>MAH</w:t>
      </w:r>
      <w:r w:rsidR="00862055" w:rsidRPr="0029175B">
        <w:t xml:space="preserve"> hold</w:t>
      </w:r>
      <w:r w:rsidR="00E84928" w:rsidRPr="0029175B">
        <w:t>s</w:t>
      </w:r>
      <w:r w:rsidR="00862055" w:rsidRPr="0029175B">
        <w:t xml:space="preserve"> the responsibility for the supervision of the </w:t>
      </w:r>
      <w:r w:rsidR="00961C90" w:rsidRPr="0029175B">
        <w:t>PASS</w:t>
      </w:r>
      <w:r w:rsidR="00476D7C" w:rsidRPr="0029175B">
        <w:t xml:space="preserve">, </w:t>
      </w:r>
      <w:r w:rsidR="00690273" w:rsidRPr="0029175B">
        <w:t>including the obligations to monitor the data generated, to consider its implications for the risk-benefit balance of the medicinal product and to communicate to authorities any new information which might influence this balance</w:t>
      </w:r>
      <w:r w:rsidR="00FE412C" w:rsidRPr="0029175B">
        <w:t>. I</w:t>
      </w:r>
      <w:r w:rsidR="00690273" w:rsidRPr="0029175B">
        <w:t>f t</w:t>
      </w:r>
      <w:r w:rsidR="00D62FB4" w:rsidRPr="0029175B">
        <w:t xml:space="preserve">he conduct of registry study </w:t>
      </w:r>
      <w:r w:rsidR="00FE412C" w:rsidRPr="0029175B">
        <w:t>is</w:t>
      </w:r>
      <w:r w:rsidR="00961C90" w:rsidRPr="0029175B">
        <w:t xml:space="preserve"> parti</w:t>
      </w:r>
      <w:r w:rsidR="00D62FB4" w:rsidRPr="0029175B">
        <w:t>ally or fully sub-contr</w:t>
      </w:r>
      <w:r w:rsidR="003C768D" w:rsidRPr="0029175B">
        <w:t>acted by a MAH to a third-party (</w:t>
      </w:r>
      <w:r w:rsidR="00D62FB4" w:rsidRPr="0029175B">
        <w:t>for example a contract research organisation, an academic institution or the registry coordinat</w:t>
      </w:r>
      <w:r w:rsidR="0027295D" w:rsidRPr="0029175B">
        <w:t>or</w:t>
      </w:r>
      <w:r w:rsidR="003C768D" w:rsidRPr="0029175B">
        <w:t>)</w:t>
      </w:r>
      <w:r w:rsidR="00FE412C" w:rsidRPr="0029175B">
        <w:t>, t</w:t>
      </w:r>
      <w:r w:rsidR="00D60FB7" w:rsidRPr="0029175B">
        <w:t xml:space="preserve">he MAH should </w:t>
      </w:r>
      <w:r w:rsidR="00476D7C" w:rsidRPr="0029175B">
        <w:t xml:space="preserve">ensure </w:t>
      </w:r>
      <w:r w:rsidR="00A451A7">
        <w:t xml:space="preserve">that </w:t>
      </w:r>
      <w:r w:rsidR="00476D7C" w:rsidRPr="0029175B">
        <w:t xml:space="preserve">these activities are carried-out and </w:t>
      </w:r>
      <w:r w:rsidR="00A451A7">
        <w:t xml:space="preserve">should </w:t>
      </w:r>
      <w:r w:rsidR="00D60FB7" w:rsidRPr="0029175B">
        <w:t xml:space="preserve">provide </w:t>
      </w:r>
      <w:r w:rsidR="004D2B79" w:rsidRPr="0029175B">
        <w:t xml:space="preserve">adequate </w:t>
      </w:r>
      <w:r w:rsidR="00D60FB7" w:rsidRPr="0029175B">
        <w:t xml:space="preserve">funding for </w:t>
      </w:r>
      <w:r w:rsidR="000046BB" w:rsidRPr="0029175B">
        <w:t>the</w:t>
      </w:r>
      <w:r w:rsidR="000046BB">
        <w:t>ir implementation</w:t>
      </w:r>
      <w:r w:rsidR="00D60FB7" w:rsidRPr="0029175B">
        <w:t xml:space="preserve">. </w:t>
      </w:r>
      <w:r w:rsidR="0027295D" w:rsidRPr="0029175B">
        <w:t>T</w:t>
      </w:r>
      <w:r w:rsidR="007C2D3E" w:rsidRPr="0029175B">
        <w:t>he research contract established by a MAH and a third-party for such studies</w:t>
      </w:r>
      <w:r w:rsidR="004D2B79" w:rsidRPr="0029175B">
        <w:t xml:space="preserve"> </w:t>
      </w:r>
      <w:r w:rsidR="0027295D" w:rsidRPr="0029175B">
        <w:t>should clearly describe</w:t>
      </w:r>
      <w:r w:rsidR="004D2B79" w:rsidRPr="0029175B">
        <w:t xml:space="preserve"> roles and responsibilities</w:t>
      </w:r>
      <w:r w:rsidR="007C2D3E" w:rsidRPr="0029175B">
        <w:t xml:space="preserve"> </w:t>
      </w:r>
      <w:r w:rsidR="00FE412C" w:rsidRPr="0029175B">
        <w:t xml:space="preserve">and </w:t>
      </w:r>
      <w:r w:rsidR="005C5121">
        <w:t xml:space="preserve">it </w:t>
      </w:r>
      <w:r w:rsidR="00F46C7E">
        <w:t>should</w:t>
      </w:r>
      <w:r w:rsidR="005C5121">
        <w:t xml:space="preserve"> </w:t>
      </w:r>
      <w:r w:rsidR="007C2D3E" w:rsidRPr="0029175B">
        <w:t xml:space="preserve">follow the recommendations of </w:t>
      </w:r>
      <w:r w:rsidR="00C27D26">
        <w:t xml:space="preserve">GVP </w:t>
      </w:r>
      <w:r w:rsidR="007C2D3E" w:rsidRPr="0029175B">
        <w:t xml:space="preserve">Module VIII </w:t>
      </w:r>
      <w:r w:rsidR="00C27D26">
        <w:t xml:space="preserve">(20) </w:t>
      </w:r>
      <w:r w:rsidR="007C2D3E" w:rsidRPr="0029175B">
        <w:t>and of the ENCePP Code of Conduct</w:t>
      </w:r>
      <w:r w:rsidR="00EF3570" w:rsidRPr="0029175B">
        <w:t xml:space="preserve"> </w:t>
      </w:r>
      <w:r w:rsidR="00DC72AC">
        <w:fldChar w:fldCharType="begin"/>
      </w:r>
      <w:r w:rsidR="005E2E45">
        <w:instrText xml:space="preserve"> ADDIN ZOTERO_ITEM CSL_CITATION {"citationID":"a1klc599edt","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DC72AC">
        <w:fldChar w:fldCharType="separate"/>
      </w:r>
      <w:r w:rsidR="005E2E45" w:rsidRPr="005E2E45">
        <w:t>(15)</w:t>
      </w:r>
      <w:r w:rsidR="00DC72AC">
        <w:fldChar w:fldCharType="end"/>
      </w:r>
      <w:r w:rsidR="00DC72AC">
        <w:t xml:space="preserve"> </w:t>
      </w:r>
      <w:r w:rsidR="00EF3570" w:rsidRPr="0029175B">
        <w:t>(as well as the ADVANCE Code of Conduct for vaccines</w:t>
      </w:r>
      <w:r w:rsidR="00DC72AC">
        <w:t xml:space="preserve"> </w:t>
      </w:r>
      <w:r w:rsidR="00DC72AC">
        <w:fldChar w:fldCharType="begin"/>
      </w:r>
      <w:r w:rsidR="00861617">
        <w:instrText xml:space="preserve"> ADDIN ZOTERO_ITEM CSL_CITATION {"citationID":"a1koto4dl13","properties":{"formattedCitation":"(29)","plainCitation":"(29)","dontUpdate":true},"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DC72AC">
        <w:fldChar w:fldCharType="separate"/>
      </w:r>
      <w:r w:rsidR="003039A5" w:rsidRPr="00440E0F">
        <w:t>(2</w:t>
      </w:r>
      <w:r w:rsidR="0053115C">
        <w:t>8</w:t>
      </w:r>
      <w:r w:rsidR="003039A5" w:rsidRPr="00440E0F">
        <w:t>)</w:t>
      </w:r>
      <w:r w:rsidR="00DC72AC">
        <w:fldChar w:fldCharType="end"/>
      </w:r>
      <w:r w:rsidR="00EF3570" w:rsidRPr="0029175B">
        <w:t>)</w:t>
      </w:r>
      <w:r w:rsidR="007C2D3E" w:rsidRPr="0029175B">
        <w:t>.</w:t>
      </w:r>
    </w:p>
    <w:p w:rsidR="00D877F1" w:rsidRDefault="00D64049" w:rsidP="00A41892">
      <w:pPr>
        <w:autoSpaceDE w:val="0"/>
        <w:autoSpaceDN w:val="0"/>
        <w:adjustRightInd w:val="0"/>
        <w:spacing w:after="140" w:line="280" w:lineRule="exact"/>
        <w:rPr>
          <w:color w:val="000000"/>
          <w:lang w:eastAsia="en-US"/>
        </w:rPr>
      </w:pPr>
      <w:r w:rsidRPr="0029175B">
        <w:rPr>
          <w:rFonts w:cs="Verdana"/>
          <w:color w:val="000000"/>
          <w:lang w:eastAsia="en-US"/>
        </w:rPr>
        <w:t xml:space="preserve">In addition to its pharmacovigilance obligations in relation to the study, the MAH should ensure that the fulfilment of these obligations can be audited, inspected and verified. For PASS imposed as an obligation, the </w:t>
      </w:r>
      <w:r w:rsidR="00095764" w:rsidRPr="0029175B">
        <w:rPr>
          <w:rFonts w:cs="Verdana"/>
          <w:color w:val="000000"/>
          <w:lang w:eastAsia="en-US"/>
        </w:rPr>
        <w:t>MAH</w:t>
      </w:r>
      <w:r w:rsidRPr="0029175B">
        <w:rPr>
          <w:rFonts w:cs="Verdana"/>
          <w:color w:val="000000"/>
          <w:lang w:eastAsia="en-US"/>
        </w:rPr>
        <w:t xml:space="preserve"> shall ensure that the analytical dataset and statistical programmes used for generating the data included in the final study report are kept in electronic format and are available for auditing and inspection. </w:t>
      </w:r>
      <w:r w:rsidR="00095764" w:rsidRPr="0029175B">
        <w:rPr>
          <w:rFonts w:cs="Verdana"/>
          <w:color w:val="000000"/>
          <w:lang w:eastAsia="en-US"/>
        </w:rPr>
        <w:t xml:space="preserve">Obligations also apply to other </w:t>
      </w:r>
      <w:r w:rsidRPr="0029175B">
        <w:rPr>
          <w:color w:val="000000"/>
          <w:lang w:eastAsia="en-US"/>
        </w:rPr>
        <w:t xml:space="preserve">PASS required in the risk management plan or conducted voluntarily </w:t>
      </w:r>
      <w:r w:rsidR="00095764" w:rsidRPr="0029175B">
        <w:rPr>
          <w:color w:val="000000"/>
          <w:lang w:eastAsia="en-US"/>
        </w:rPr>
        <w:t>by the MAH in terms of the recording, retrievability and traceability of pharmacovigi</w:t>
      </w:r>
      <w:r w:rsidR="00A41892" w:rsidRPr="0029175B">
        <w:rPr>
          <w:color w:val="000000"/>
          <w:lang w:eastAsia="en-US"/>
        </w:rPr>
        <w:t>l</w:t>
      </w:r>
      <w:r w:rsidR="00095764" w:rsidRPr="0029175B">
        <w:rPr>
          <w:color w:val="000000"/>
          <w:lang w:eastAsia="en-US"/>
        </w:rPr>
        <w:t>ance information. Registry coordinators should be aware of these legal obligations</w:t>
      </w:r>
      <w:r w:rsidR="00A41892" w:rsidRPr="0029175B">
        <w:rPr>
          <w:color w:val="000000"/>
          <w:lang w:eastAsia="en-US"/>
        </w:rPr>
        <w:t xml:space="preserve"> to MAHs and these obligations should be reflected in the research contract.</w:t>
      </w:r>
    </w:p>
    <w:p w:rsidR="00926A4F" w:rsidRDefault="00D64049" w:rsidP="00926A4F">
      <w:pPr>
        <w:pStyle w:val="BodytextAgency"/>
      </w:pPr>
      <w:r w:rsidRPr="0029175B">
        <w:t xml:space="preserve">In order to support transparency on non-interventional PASS conducted voluntarily or pursuant </w:t>
      </w:r>
      <w:r w:rsidR="00401DA6" w:rsidRPr="0029175B">
        <w:t>to</w:t>
      </w:r>
      <w:r w:rsidRPr="0029175B">
        <w:t xml:space="preserve"> an obligation</w:t>
      </w:r>
      <w:r w:rsidR="00401DA6" w:rsidRPr="0029175B">
        <w:t>,</w:t>
      </w:r>
      <w:r w:rsidRPr="0029175B">
        <w:t xml:space="preserve"> and to facilitate exchange of pharmacovigilance information between the </w:t>
      </w:r>
      <w:r w:rsidR="00A41892" w:rsidRPr="0029175B">
        <w:t>EMA</w:t>
      </w:r>
      <w:r w:rsidRPr="0029175B">
        <w:t>, member states and marke</w:t>
      </w:r>
      <w:r w:rsidR="00401DA6" w:rsidRPr="0029175B">
        <w:t xml:space="preserve">ting authorisation holders, Module VIII of the GVP recommends that </w:t>
      </w:r>
      <w:r w:rsidRPr="0029175B">
        <w:t xml:space="preserve">MAH should make study information available in the EU electronic </w:t>
      </w:r>
      <w:r w:rsidR="001002A7" w:rsidRPr="0029175B">
        <w:t>R</w:t>
      </w:r>
      <w:r w:rsidRPr="0029175B">
        <w:t xml:space="preserve">egister of post-authorisation studies (EU PAS Register) maintained by the </w:t>
      </w:r>
      <w:r w:rsidR="001002A7" w:rsidRPr="0029175B">
        <w:t>EMA</w:t>
      </w:r>
      <w:r w:rsidRPr="0029175B">
        <w:t>. This registration is a legal obligation for imposed PASS for which the registration number</w:t>
      </w:r>
      <w:r w:rsidR="00401DA6" w:rsidRPr="0029175B">
        <w:t xml:space="preserve"> must be mentioned</w:t>
      </w:r>
      <w:r w:rsidRPr="0029175B">
        <w:t xml:space="preserve"> in the final study report.</w:t>
      </w:r>
      <w:r w:rsidR="00401DA6" w:rsidRPr="0029175B">
        <w:t xml:space="preserve"> For imposed studies, the EMA has the obligation to make public </w:t>
      </w:r>
      <w:r w:rsidR="00A610BA" w:rsidRPr="0029175B">
        <w:t>t</w:t>
      </w:r>
      <w:r w:rsidR="00401DA6" w:rsidRPr="0029175B">
        <w:t>he</w:t>
      </w:r>
      <w:r w:rsidRPr="0029175B">
        <w:t xml:space="preserve"> </w:t>
      </w:r>
      <w:r w:rsidR="00162AA1" w:rsidRPr="0029175B">
        <w:t xml:space="preserve">protocol and an abstract of </w:t>
      </w:r>
      <w:r w:rsidR="00D60FB7" w:rsidRPr="0029175B">
        <w:t xml:space="preserve">the </w:t>
      </w:r>
      <w:r w:rsidR="00B372F2" w:rsidRPr="0029175B">
        <w:t xml:space="preserve">study </w:t>
      </w:r>
      <w:r w:rsidR="00162AA1" w:rsidRPr="0029175B">
        <w:t>results</w:t>
      </w:r>
      <w:r w:rsidR="00F84E0C" w:rsidRPr="0029175B">
        <w:t xml:space="preserve"> </w:t>
      </w:r>
      <w:r w:rsidR="00F84E0C" w:rsidRPr="0029175B">
        <w:fldChar w:fldCharType="begin"/>
      </w:r>
      <w:r w:rsidR="00861617">
        <w:instrText xml:space="preserve"> ADDIN ZOTERO_ITEM CSL_CITATION {"citationID":"afmumhi9mt","properties":{"formattedCitation":"(34)","plainCitation":"(34)","dontUpdate":true},"citationItems":[{"id":2293,"uris":["http://zotero.org/users/local/tAKp4fcl/items/5VM4M5D8"],"uri":["http://zotero.org/users/local/tAKp4fcl/items/5VM4M5D8"],"itemData":{"id":2293,"type":"article","title":"REGULATION (EC) No 726/2004 OF THE EUROPEAN PARLIAMENT AND OF THE COUNCIL of 31 March 2004 laying down Community procedures for the authorisation and supervision of medicinal products for human and veterinary use and establishing a European Medicines Agency (Text with EEA relevance) (OJ L 136, 30.4.2004, p. 1)","URL":"https://eur-lex.europa.eu/LexUriServ/LexUriServ.do?uri=CONSLEG:2004R0726:20120702:EN:PDF","author":[{"literal":"European Commission"}]}}],"schema":"https://github.com/citation-style-language/schema/raw/master/csl-citation.json"} </w:instrText>
      </w:r>
      <w:r w:rsidR="00F84E0C" w:rsidRPr="0029175B">
        <w:fldChar w:fldCharType="separate"/>
      </w:r>
      <w:r w:rsidR="003039A5" w:rsidRPr="00440E0F">
        <w:t>(3</w:t>
      </w:r>
      <w:r w:rsidR="0053115C">
        <w:t>3</w:t>
      </w:r>
      <w:r w:rsidR="003039A5" w:rsidRPr="00440E0F">
        <w:t>)</w:t>
      </w:r>
      <w:r w:rsidR="00F84E0C" w:rsidRPr="0029175B">
        <w:fldChar w:fldCharType="end"/>
      </w:r>
      <w:r w:rsidR="00162AA1" w:rsidRPr="0029175B">
        <w:t xml:space="preserve">. </w:t>
      </w:r>
      <w:r w:rsidR="00D4045E" w:rsidRPr="0029175B">
        <w:t>GVP Module VIII</w:t>
      </w:r>
      <w:r w:rsidR="00C06AF3" w:rsidRPr="0029175B">
        <w:t xml:space="preserve"> therefore recommend</w:t>
      </w:r>
      <w:r w:rsidR="00D4045E" w:rsidRPr="0029175B">
        <w:t>s</w:t>
      </w:r>
      <w:r w:rsidR="00C06AF3" w:rsidRPr="0029175B">
        <w:t xml:space="preserve"> that MAHs anticipate this obligation by takin</w:t>
      </w:r>
      <w:r w:rsidR="00B372F2" w:rsidRPr="0029175B">
        <w:t>g</w:t>
      </w:r>
      <w:r w:rsidR="00C06AF3" w:rsidRPr="0029175B">
        <w:t xml:space="preserve"> the initiative </w:t>
      </w:r>
      <w:r w:rsidR="00B372F2" w:rsidRPr="0029175B">
        <w:t>to</w:t>
      </w:r>
      <w:r w:rsidR="00C06AF3" w:rsidRPr="0029175B">
        <w:t xml:space="preserve"> enter</w:t>
      </w:r>
      <w:r w:rsidR="00B372F2" w:rsidRPr="0029175B">
        <w:t xml:space="preserve"> </w:t>
      </w:r>
      <w:r w:rsidR="00C06AF3" w:rsidRPr="0029175B">
        <w:t xml:space="preserve">themselves this information in the EU PAS Register. </w:t>
      </w:r>
    </w:p>
    <w:p w:rsidR="006619D6" w:rsidRPr="006E7959" w:rsidRDefault="00D64049" w:rsidP="006E7959">
      <w:pPr>
        <w:pStyle w:val="Default"/>
        <w:spacing w:after="140" w:line="280" w:lineRule="exact"/>
      </w:pPr>
      <w:r w:rsidRPr="006E7959">
        <w:rPr>
          <w:sz w:val="18"/>
          <w:szCs w:val="18"/>
        </w:rPr>
        <w:t xml:space="preserve">A PAES may also be imposed where there is a well-reasoned scientific uncertainty to be addressed post-authorisation to enhance the understanding of therapeutic efficacy and the benefit-risk of a medicine with implications for better use in clinical practice. The </w:t>
      </w:r>
      <w:r w:rsidR="00C27D26">
        <w:rPr>
          <w:rFonts w:eastAsia="SimSun"/>
          <w:sz w:val="18"/>
          <w:szCs w:val="18"/>
        </w:rPr>
        <w:t>PAES</w:t>
      </w:r>
      <w:r w:rsidRPr="006E7959">
        <w:rPr>
          <w:rFonts w:eastAsia="SimSun"/>
          <w:sz w:val="18"/>
          <w:szCs w:val="18"/>
        </w:rPr>
        <w:t xml:space="preserve"> guidance </w:t>
      </w:r>
      <w:r w:rsidR="00686DE9" w:rsidRPr="006E7959">
        <w:rPr>
          <w:rFonts w:eastAsia="SimSun"/>
          <w:sz w:val="18"/>
          <w:szCs w:val="18"/>
        </w:rPr>
        <w:fldChar w:fldCharType="begin"/>
      </w:r>
      <w:r w:rsidR="005E2E45">
        <w:rPr>
          <w:rFonts w:eastAsia="SimSun"/>
          <w:sz w:val="18"/>
          <w:szCs w:val="18"/>
        </w:rPr>
        <w:instrText xml:space="preserve"> ADDIN ZOTERO_ITEM CSL_CITATION {"citationID":"a2i1jp18602","properties":{"formattedCitation":"(22)","plainCitation":"(22)"},"citationItems":[{"id":2250,"uris":["http://zotero.org/users/local/tAKp4fcl/items/PD8M72AS"],"uri":["http://zotero.org/users/local/tAKp4fcl/items/PD8M72AS"],"itemData":{"id":2250,"type":"article","title":"Scientific guidance on post-authorisation efficacy studies. EMA/PDCO/CAT/CMDh/PRAC/CHMP/261500/2015","URL":"http://www.ema.europa.eu/docs/en_GB/document_library/Scientific_guideline/2016/12/WC500219040.pdf","author":[{"literal":"European Medicines Agency (EMA)"}],"issued":{"date-parts":[["2016",10,12]]}}}],"schema":"https://github.com/citation-style-language/schema/raw/master/csl-citation.json"} </w:instrText>
      </w:r>
      <w:r w:rsidR="00686DE9" w:rsidRPr="006E7959">
        <w:rPr>
          <w:rFonts w:eastAsia="SimSun"/>
          <w:sz w:val="18"/>
          <w:szCs w:val="18"/>
        </w:rPr>
        <w:fldChar w:fldCharType="separate"/>
      </w:r>
      <w:r w:rsidR="005E2E45" w:rsidRPr="005E2E45">
        <w:rPr>
          <w:sz w:val="18"/>
        </w:rPr>
        <w:t>(22)</w:t>
      </w:r>
      <w:r w:rsidR="00686DE9" w:rsidRPr="006E7959">
        <w:rPr>
          <w:rFonts w:eastAsia="SimSun"/>
          <w:sz w:val="18"/>
          <w:szCs w:val="18"/>
        </w:rPr>
        <w:fldChar w:fldCharType="end"/>
      </w:r>
      <w:r w:rsidR="00686DE9" w:rsidRPr="006E7959">
        <w:rPr>
          <w:rFonts w:eastAsia="SimSun"/>
          <w:sz w:val="18"/>
          <w:szCs w:val="18"/>
        </w:rPr>
        <w:t xml:space="preserve"> </w:t>
      </w:r>
      <w:r w:rsidRPr="006E7959">
        <w:rPr>
          <w:rFonts w:eastAsia="SimSun"/>
          <w:sz w:val="18"/>
          <w:szCs w:val="18"/>
        </w:rPr>
        <w:t xml:space="preserve">recommends that agreement </w:t>
      </w:r>
      <w:r w:rsidR="003F346B" w:rsidRPr="006E7959">
        <w:rPr>
          <w:rFonts w:eastAsia="SimSun"/>
          <w:sz w:val="18"/>
          <w:szCs w:val="18"/>
        </w:rPr>
        <w:t xml:space="preserve">on a suitable methodology giving reliable and interpretable answers to the research question </w:t>
      </w:r>
      <w:r w:rsidRPr="006E7959">
        <w:rPr>
          <w:rFonts w:eastAsia="SimSun"/>
          <w:sz w:val="18"/>
          <w:szCs w:val="18"/>
        </w:rPr>
        <w:t xml:space="preserve">should be sought as early as possible between the regulator and </w:t>
      </w:r>
      <w:r w:rsidR="003F346B" w:rsidRPr="006E7959">
        <w:rPr>
          <w:rFonts w:eastAsia="SimSun"/>
          <w:sz w:val="18"/>
          <w:szCs w:val="18"/>
        </w:rPr>
        <w:t xml:space="preserve">MAH, </w:t>
      </w:r>
      <w:r w:rsidRPr="006E7959">
        <w:rPr>
          <w:sz w:val="18"/>
          <w:szCs w:val="18"/>
        </w:rPr>
        <w:t xml:space="preserve">taking account of the post-authorisation setting and </w:t>
      </w:r>
      <w:r w:rsidR="003F346B" w:rsidRPr="006E7959">
        <w:rPr>
          <w:sz w:val="18"/>
          <w:szCs w:val="18"/>
        </w:rPr>
        <w:t>the required timeframe.</w:t>
      </w:r>
      <w:r w:rsidR="009F1C46">
        <w:rPr>
          <w:sz w:val="18"/>
          <w:szCs w:val="18"/>
        </w:rPr>
        <w:t xml:space="preserve"> </w:t>
      </w:r>
      <w:r w:rsidR="009F1C46" w:rsidRPr="008355D0">
        <w:rPr>
          <w:sz w:val="18"/>
          <w:szCs w:val="18"/>
        </w:rPr>
        <w:t>Randomisation can be incorporated in a disease registry setting, if called for by the study design best to address the research question (e.g. efficacy).</w:t>
      </w:r>
    </w:p>
    <w:p w:rsidR="00C06AF3" w:rsidRPr="0029175B" w:rsidRDefault="00D64049" w:rsidP="00926A4F">
      <w:pPr>
        <w:pStyle w:val="BodytextAgency"/>
      </w:pPr>
      <w:r w:rsidRPr="0029175B">
        <w:lastRenderedPageBreak/>
        <w:t xml:space="preserve">To support transparency about registries used in </w:t>
      </w:r>
      <w:r w:rsidR="00D331AB" w:rsidRPr="0029175B">
        <w:t>regulatory studies</w:t>
      </w:r>
      <w:r w:rsidRPr="0029175B">
        <w:t xml:space="preserve">, it is </w:t>
      </w:r>
      <w:r w:rsidR="00476D7C" w:rsidRPr="0029175B">
        <w:t xml:space="preserve">also </w:t>
      </w:r>
      <w:r w:rsidRPr="0029175B">
        <w:t xml:space="preserve">recommended that the registry </w:t>
      </w:r>
      <w:r w:rsidR="0027295D" w:rsidRPr="0029175B">
        <w:t>coordinator</w:t>
      </w:r>
      <w:r w:rsidRPr="0029175B">
        <w:t xml:space="preserve"> enters information on the </w:t>
      </w:r>
      <w:r w:rsidR="00D331AB" w:rsidRPr="0029175B">
        <w:t>registry in the ENCePP inventory of data sources</w:t>
      </w:r>
      <w:r w:rsidR="00F84E0C" w:rsidRPr="0029175B">
        <w:t xml:space="preserve"> </w:t>
      </w:r>
      <w:r w:rsidR="00F84E0C" w:rsidRPr="0029175B">
        <w:fldChar w:fldCharType="begin"/>
      </w:r>
      <w:r w:rsidR="00861617">
        <w:instrText xml:space="preserve"> ADDIN ZOTERO_ITEM CSL_CITATION {"citationID":"a11kjkino9i","properties":{"formattedCitation":"(35)","plainCitation":"(35)","dontUpdate":true},"citationItems":[{"id":2264,"uris":["http://zotero.org/users/local/tAKp4fcl/items/DQLKV99I"],"uri":["http://zotero.org/users/local/tAKp4fcl/items/DQLKV99I"],"itemData":{"id":2264,"type":"webpage","title":"ENCePP Resources Database","URL":"http://www.encepp.eu/encepp/resourcesDatabase.jsp","author":[{"literal":"ENCePP, European Network of Centres for Pharmacoepidemiology and Pharmacovigilance"}],"accessed":{"date-parts":[["2018",8,28]]}}}],"schema":"https://github.com/citation-style-language/schema/raw/master/csl-citation.json"} </w:instrText>
      </w:r>
      <w:r w:rsidR="00F84E0C" w:rsidRPr="0029175B">
        <w:fldChar w:fldCharType="separate"/>
      </w:r>
      <w:r w:rsidR="003039A5" w:rsidRPr="00440E0F">
        <w:t>(3</w:t>
      </w:r>
      <w:r w:rsidR="0053115C">
        <w:t>4</w:t>
      </w:r>
      <w:r w:rsidR="003039A5" w:rsidRPr="00440E0F">
        <w:t>)</w:t>
      </w:r>
      <w:r w:rsidR="00F84E0C" w:rsidRPr="0029175B">
        <w:fldChar w:fldCharType="end"/>
      </w:r>
      <w:r w:rsidR="00D331AB" w:rsidRPr="0029175B">
        <w:t>.</w:t>
      </w:r>
    </w:p>
    <w:p w:rsidR="00CD4352" w:rsidRPr="0029175B" w:rsidRDefault="00D64049" w:rsidP="00681D4D">
      <w:pPr>
        <w:pStyle w:val="Heading2Agency"/>
      </w:pPr>
      <w:bookmarkStart w:id="117" w:name="_Toc528934956"/>
      <w:r w:rsidRPr="0029175B">
        <w:t>Tim</w:t>
      </w:r>
      <w:r w:rsidR="005D008A" w:rsidRPr="0029175B">
        <w:t>elines</w:t>
      </w:r>
      <w:bookmarkEnd w:id="117"/>
    </w:p>
    <w:p w:rsidR="003847CD" w:rsidRPr="0029175B" w:rsidRDefault="00D64049" w:rsidP="00AD4CBC">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 xml:space="preserve">Initiation of a registry study requires </w:t>
      </w:r>
      <w:r w:rsidR="00642E80" w:rsidRPr="0029175B">
        <w:rPr>
          <w:rFonts w:eastAsia="Verdana"/>
          <w:bCs/>
          <w:sz w:val="18"/>
          <w:szCs w:val="18"/>
          <w:lang w:val="en-GB" w:eastAsia="en-GB"/>
        </w:rPr>
        <w:t xml:space="preserve">consideration of many different aspects that can take </w:t>
      </w:r>
      <w:r w:rsidR="00D56793" w:rsidRPr="0029175B">
        <w:rPr>
          <w:rFonts w:eastAsia="Verdana"/>
          <w:bCs/>
          <w:sz w:val="18"/>
          <w:szCs w:val="18"/>
          <w:lang w:val="en-GB" w:eastAsia="en-GB"/>
        </w:rPr>
        <w:t xml:space="preserve">overall </w:t>
      </w:r>
      <w:r w:rsidR="00642E80" w:rsidRPr="0029175B">
        <w:rPr>
          <w:rFonts w:eastAsia="Verdana"/>
          <w:bCs/>
          <w:sz w:val="18"/>
          <w:szCs w:val="18"/>
          <w:lang w:val="en-GB" w:eastAsia="en-GB"/>
        </w:rPr>
        <w:t>more than one year</w:t>
      </w:r>
      <w:r w:rsidR="005D008A" w:rsidRPr="0029175B">
        <w:rPr>
          <w:rFonts w:eastAsia="Verdana"/>
          <w:bCs/>
          <w:sz w:val="18"/>
          <w:szCs w:val="18"/>
          <w:lang w:val="en-GB" w:eastAsia="en-GB"/>
        </w:rPr>
        <w:t>:</w:t>
      </w:r>
      <w:r w:rsidR="00642E80" w:rsidRPr="0029175B">
        <w:rPr>
          <w:rFonts w:eastAsia="Verdana"/>
          <w:bCs/>
          <w:sz w:val="18"/>
          <w:szCs w:val="18"/>
          <w:lang w:val="en-GB" w:eastAsia="en-GB"/>
        </w:rPr>
        <w:t xml:space="preserve"> identification of suitable registry(-ies),</w:t>
      </w:r>
      <w:r w:rsidR="005D008A" w:rsidRPr="0029175B">
        <w:rPr>
          <w:rFonts w:eastAsia="Verdana"/>
          <w:bCs/>
          <w:sz w:val="18"/>
          <w:szCs w:val="18"/>
          <w:lang w:val="en-GB" w:eastAsia="en-GB"/>
        </w:rPr>
        <w:t xml:space="preserve"> feasibility analysis, writing of study proposal</w:t>
      </w:r>
      <w:r w:rsidR="00D47613" w:rsidRPr="0029175B">
        <w:rPr>
          <w:rFonts w:eastAsia="Verdana"/>
          <w:bCs/>
          <w:sz w:val="18"/>
          <w:szCs w:val="18"/>
          <w:lang w:val="en-GB" w:eastAsia="en-GB"/>
        </w:rPr>
        <w:t>,</w:t>
      </w:r>
      <w:r w:rsidRPr="0029175B">
        <w:rPr>
          <w:rFonts w:eastAsia="Verdana"/>
          <w:bCs/>
          <w:sz w:val="18"/>
          <w:szCs w:val="18"/>
          <w:lang w:val="en-GB" w:eastAsia="en-GB"/>
        </w:rPr>
        <w:t xml:space="preserve"> </w:t>
      </w:r>
      <w:r w:rsidR="00642E80" w:rsidRPr="0029175B">
        <w:rPr>
          <w:rFonts w:eastAsia="Verdana"/>
          <w:bCs/>
          <w:sz w:val="18"/>
          <w:szCs w:val="18"/>
          <w:lang w:val="en-GB" w:eastAsia="en-GB"/>
        </w:rPr>
        <w:t xml:space="preserve">submission of request to registry steering or scientific committee, decision-making </w:t>
      </w:r>
      <w:r w:rsidR="00747680" w:rsidRPr="0029175B">
        <w:rPr>
          <w:rFonts w:eastAsia="Verdana"/>
          <w:bCs/>
          <w:sz w:val="18"/>
          <w:szCs w:val="18"/>
          <w:lang w:val="en-GB" w:eastAsia="en-GB"/>
        </w:rPr>
        <w:t>within</w:t>
      </w:r>
      <w:r w:rsidR="00642E80" w:rsidRPr="0029175B">
        <w:rPr>
          <w:rFonts w:eastAsia="Verdana"/>
          <w:bCs/>
          <w:sz w:val="18"/>
          <w:szCs w:val="18"/>
          <w:lang w:val="en-GB" w:eastAsia="en-GB"/>
        </w:rPr>
        <w:t xml:space="preserve"> registry </w:t>
      </w:r>
      <w:r w:rsidRPr="0029175B">
        <w:rPr>
          <w:rFonts w:eastAsia="Verdana"/>
          <w:bCs/>
          <w:sz w:val="18"/>
          <w:szCs w:val="18"/>
          <w:lang w:val="en-GB" w:eastAsia="en-GB"/>
        </w:rPr>
        <w:t>governance structure</w:t>
      </w:r>
      <w:r w:rsidR="00642E80" w:rsidRPr="0029175B">
        <w:rPr>
          <w:rFonts w:eastAsia="Verdana"/>
          <w:bCs/>
          <w:sz w:val="18"/>
          <w:szCs w:val="18"/>
          <w:lang w:val="en-GB" w:eastAsia="en-GB"/>
        </w:rPr>
        <w:t xml:space="preserve">, </w:t>
      </w:r>
      <w:r w:rsidR="00B4663B" w:rsidRPr="0029175B">
        <w:rPr>
          <w:rFonts w:eastAsia="Verdana"/>
          <w:bCs/>
          <w:sz w:val="18"/>
          <w:szCs w:val="18"/>
          <w:lang w:val="en-GB" w:eastAsia="en-GB"/>
        </w:rPr>
        <w:t xml:space="preserve">development of </w:t>
      </w:r>
      <w:r w:rsidR="00642E80" w:rsidRPr="0029175B">
        <w:rPr>
          <w:rFonts w:eastAsia="Verdana"/>
          <w:bCs/>
          <w:sz w:val="18"/>
          <w:szCs w:val="18"/>
          <w:lang w:val="en-GB" w:eastAsia="en-GB"/>
        </w:rPr>
        <w:t>study protocol</w:t>
      </w:r>
      <w:r w:rsidR="00B4663B" w:rsidRPr="0029175B">
        <w:rPr>
          <w:rFonts w:eastAsia="Verdana"/>
          <w:bCs/>
          <w:sz w:val="18"/>
          <w:szCs w:val="18"/>
          <w:lang w:val="en-GB" w:eastAsia="en-GB"/>
        </w:rPr>
        <w:t xml:space="preserve"> and statistical plan, </w:t>
      </w:r>
      <w:r w:rsidR="005D008A" w:rsidRPr="0029175B">
        <w:rPr>
          <w:rFonts w:eastAsia="Verdana"/>
          <w:bCs/>
          <w:sz w:val="18"/>
          <w:szCs w:val="18"/>
          <w:lang w:val="en-GB" w:eastAsia="en-GB"/>
        </w:rPr>
        <w:t xml:space="preserve">legal considerations, including </w:t>
      </w:r>
      <w:r w:rsidR="00F60B78" w:rsidRPr="0029175B">
        <w:rPr>
          <w:rFonts w:eastAsia="Verdana"/>
          <w:bCs/>
          <w:sz w:val="18"/>
          <w:szCs w:val="18"/>
          <w:lang w:val="en-GB" w:eastAsia="en-GB"/>
        </w:rPr>
        <w:t xml:space="preserve">submission to </w:t>
      </w:r>
      <w:r w:rsidR="005D008A" w:rsidRPr="0029175B">
        <w:rPr>
          <w:rFonts w:eastAsia="Verdana"/>
          <w:bCs/>
          <w:sz w:val="18"/>
          <w:szCs w:val="18"/>
          <w:lang w:val="en-GB" w:eastAsia="en-GB"/>
        </w:rPr>
        <w:t>ethic</w:t>
      </w:r>
      <w:r w:rsidR="00F60B78" w:rsidRPr="0029175B">
        <w:rPr>
          <w:rFonts w:eastAsia="Verdana"/>
          <w:bCs/>
          <w:sz w:val="18"/>
          <w:szCs w:val="18"/>
          <w:lang w:val="en-GB" w:eastAsia="en-GB"/>
        </w:rPr>
        <w:t>s</w:t>
      </w:r>
      <w:r w:rsidR="005D008A" w:rsidRPr="0029175B">
        <w:rPr>
          <w:rFonts w:eastAsia="Verdana"/>
          <w:bCs/>
          <w:sz w:val="18"/>
          <w:szCs w:val="18"/>
          <w:lang w:val="en-GB" w:eastAsia="en-GB"/>
        </w:rPr>
        <w:t xml:space="preserve"> committee</w:t>
      </w:r>
      <w:r w:rsidR="00F60B78" w:rsidRPr="0029175B">
        <w:rPr>
          <w:rFonts w:eastAsia="Verdana"/>
          <w:bCs/>
          <w:sz w:val="18"/>
          <w:szCs w:val="18"/>
          <w:lang w:val="en-GB" w:eastAsia="en-GB"/>
        </w:rPr>
        <w:t>s, agreement on data ownership and publication rights</w:t>
      </w:r>
      <w:r w:rsidR="00B74856">
        <w:rPr>
          <w:rFonts w:eastAsia="Verdana"/>
          <w:bCs/>
          <w:sz w:val="18"/>
          <w:szCs w:val="18"/>
          <w:lang w:val="en-GB" w:eastAsia="en-GB"/>
        </w:rPr>
        <w:t>,</w:t>
      </w:r>
      <w:r w:rsidR="00F60B78" w:rsidRPr="0029175B">
        <w:rPr>
          <w:rFonts w:eastAsia="Verdana"/>
          <w:bCs/>
          <w:sz w:val="18"/>
          <w:szCs w:val="18"/>
          <w:lang w:val="en-GB" w:eastAsia="en-GB"/>
        </w:rPr>
        <w:t xml:space="preserve"> </w:t>
      </w:r>
      <w:r w:rsidR="005D008A" w:rsidRPr="0029175B">
        <w:rPr>
          <w:rFonts w:eastAsia="Verdana"/>
          <w:bCs/>
          <w:sz w:val="18"/>
          <w:szCs w:val="18"/>
          <w:lang w:val="en-GB" w:eastAsia="en-GB"/>
        </w:rPr>
        <w:t xml:space="preserve">contract </w:t>
      </w:r>
      <w:r w:rsidR="00B74856">
        <w:rPr>
          <w:rFonts w:eastAsia="Verdana"/>
          <w:bCs/>
          <w:sz w:val="18"/>
          <w:szCs w:val="18"/>
          <w:lang w:val="en-GB" w:eastAsia="en-GB"/>
        </w:rPr>
        <w:t>agreement</w:t>
      </w:r>
      <w:r w:rsidR="00B74856" w:rsidRPr="0029175B">
        <w:rPr>
          <w:rFonts w:eastAsia="Verdana"/>
          <w:bCs/>
          <w:sz w:val="18"/>
          <w:szCs w:val="18"/>
          <w:lang w:val="en-GB" w:eastAsia="en-GB"/>
        </w:rPr>
        <w:t xml:space="preserve"> </w:t>
      </w:r>
      <w:r w:rsidR="005D008A" w:rsidRPr="0029175B">
        <w:rPr>
          <w:rFonts w:eastAsia="Verdana"/>
          <w:bCs/>
          <w:sz w:val="18"/>
          <w:szCs w:val="18"/>
          <w:lang w:val="en-GB" w:eastAsia="en-GB"/>
        </w:rPr>
        <w:t>per country and site,</w:t>
      </w:r>
      <w:r w:rsidR="00F60B78" w:rsidRPr="0029175B">
        <w:rPr>
          <w:rFonts w:eastAsia="Verdana"/>
          <w:bCs/>
          <w:sz w:val="18"/>
          <w:szCs w:val="18"/>
          <w:lang w:val="en-GB" w:eastAsia="en-GB"/>
        </w:rPr>
        <w:t xml:space="preserve"> data</w:t>
      </w:r>
      <w:r w:rsidR="005D008A" w:rsidRPr="0029175B">
        <w:rPr>
          <w:rFonts w:eastAsia="Verdana"/>
          <w:bCs/>
          <w:sz w:val="18"/>
          <w:szCs w:val="18"/>
          <w:lang w:val="en-GB" w:eastAsia="en-GB"/>
        </w:rPr>
        <w:t xml:space="preserve">base creation, infrastructure implementation, </w:t>
      </w:r>
      <w:r w:rsidR="00F60B78" w:rsidRPr="0029175B">
        <w:rPr>
          <w:rFonts w:eastAsia="Verdana"/>
          <w:bCs/>
          <w:sz w:val="18"/>
          <w:szCs w:val="18"/>
          <w:lang w:val="en-GB" w:eastAsia="en-GB"/>
        </w:rPr>
        <w:t xml:space="preserve">centre identification, </w:t>
      </w:r>
      <w:r w:rsidR="005D008A" w:rsidRPr="0029175B">
        <w:rPr>
          <w:rFonts w:eastAsia="Verdana"/>
          <w:bCs/>
          <w:sz w:val="18"/>
          <w:szCs w:val="18"/>
          <w:lang w:val="en-GB" w:eastAsia="en-GB"/>
        </w:rPr>
        <w:t xml:space="preserve">budget calculation </w:t>
      </w:r>
      <w:r w:rsidR="00A00588" w:rsidRPr="0029175B">
        <w:rPr>
          <w:rFonts w:eastAsia="Verdana"/>
          <w:bCs/>
          <w:sz w:val="18"/>
          <w:szCs w:val="18"/>
          <w:lang w:val="en-GB" w:eastAsia="en-GB"/>
        </w:rPr>
        <w:t xml:space="preserve">for </w:t>
      </w:r>
      <w:r w:rsidR="00F60B78" w:rsidRPr="0029175B">
        <w:rPr>
          <w:rFonts w:eastAsia="Verdana"/>
          <w:bCs/>
          <w:sz w:val="18"/>
          <w:szCs w:val="18"/>
          <w:lang w:val="en-GB" w:eastAsia="en-GB"/>
        </w:rPr>
        <w:t>different study</w:t>
      </w:r>
      <w:r w:rsidR="005D008A" w:rsidRPr="0029175B">
        <w:rPr>
          <w:rFonts w:eastAsia="Verdana"/>
          <w:bCs/>
          <w:sz w:val="18"/>
          <w:szCs w:val="18"/>
          <w:lang w:val="en-GB" w:eastAsia="en-GB"/>
        </w:rPr>
        <w:t xml:space="preserve"> phase</w:t>
      </w:r>
      <w:r w:rsidR="00A00588" w:rsidRPr="0029175B">
        <w:rPr>
          <w:rFonts w:eastAsia="Verdana"/>
          <w:bCs/>
          <w:sz w:val="18"/>
          <w:szCs w:val="18"/>
          <w:lang w:val="en-GB" w:eastAsia="en-GB"/>
        </w:rPr>
        <w:t>s</w:t>
      </w:r>
      <w:r w:rsidR="00F60B78" w:rsidRPr="0029175B">
        <w:rPr>
          <w:rFonts w:eastAsia="Verdana"/>
          <w:bCs/>
          <w:sz w:val="18"/>
          <w:szCs w:val="18"/>
          <w:lang w:val="en-GB" w:eastAsia="en-GB"/>
        </w:rPr>
        <w:t>, etc</w:t>
      </w:r>
      <w:r w:rsidR="00E936DF">
        <w:rPr>
          <w:rFonts w:eastAsia="Verdana"/>
          <w:bCs/>
          <w:sz w:val="18"/>
          <w:szCs w:val="18"/>
          <w:lang w:val="en-GB" w:eastAsia="en-GB"/>
        </w:rPr>
        <w:t>.</w:t>
      </w:r>
      <w:r w:rsidR="00F60B78" w:rsidRPr="0029175B">
        <w:rPr>
          <w:rFonts w:eastAsia="Verdana"/>
          <w:bCs/>
          <w:sz w:val="18"/>
          <w:szCs w:val="18"/>
          <w:lang w:val="en-GB" w:eastAsia="en-GB"/>
        </w:rPr>
        <w:t xml:space="preserve"> For this reason, preparations and discussions about use of a </w:t>
      </w:r>
      <w:r w:rsidR="00E936DF">
        <w:rPr>
          <w:rFonts w:eastAsia="Verdana"/>
          <w:bCs/>
          <w:sz w:val="18"/>
          <w:szCs w:val="18"/>
          <w:lang w:val="en-GB" w:eastAsia="en-GB"/>
        </w:rPr>
        <w:t>disease</w:t>
      </w:r>
      <w:r w:rsidR="00E936DF" w:rsidRPr="0029175B">
        <w:rPr>
          <w:rFonts w:eastAsia="Verdana"/>
          <w:bCs/>
          <w:sz w:val="18"/>
          <w:szCs w:val="18"/>
          <w:lang w:val="en-GB" w:eastAsia="en-GB"/>
        </w:rPr>
        <w:t xml:space="preserve"> </w:t>
      </w:r>
      <w:r w:rsidR="00F60B78" w:rsidRPr="0029175B">
        <w:rPr>
          <w:rFonts w:eastAsia="Verdana"/>
          <w:bCs/>
          <w:sz w:val="18"/>
          <w:szCs w:val="18"/>
          <w:lang w:val="en-GB" w:eastAsia="en-GB"/>
        </w:rPr>
        <w:t xml:space="preserve">registry post-authorisation should start </w:t>
      </w:r>
      <w:r w:rsidR="00E47430" w:rsidRPr="00E47430">
        <w:rPr>
          <w:rFonts w:eastAsia="Verdana"/>
          <w:bCs/>
          <w:sz w:val="18"/>
          <w:szCs w:val="18"/>
          <w:lang w:val="en-GB" w:eastAsia="en-GB"/>
        </w:rPr>
        <w:t>before or at an</w:t>
      </w:r>
      <w:r w:rsidR="00E47430">
        <w:rPr>
          <w:rFonts w:eastAsia="Verdana"/>
          <w:bCs/>
          <w:sz w:val="18"/>
          <w:szCs w:val="18"/>
          <w:lang w:val="en-GB" w:eastAsia="en-GB"/>
        </w:rPr>
        <w:t xml:space="preserve"> early stage of the </w:t>
      </w:r>
      <w:r w:rsidR="00F60B78" w:rsidRPr="0029175B">
        <w:rPr>
          <w:rFonts w:eastAsia="Verdana"/>
          <w:bCs/>
          <w:sz w:val="18"/>
          <w:szCs w:val="18"/>
          <w:lang w:val="en-GB" w:eastAsia="en-GB"/>
        </w:rPr>
        <w:t xml:space="preserve">approval application process making use of existing regulatory procedures such the pre-submission meeting or scientific advice. </w:t>
      </w:r>
      <w:r w:rsidRPr="0029175B">
        <w:rPr>
          <w:rFonts w:eastAsia="Verdana"/>
          <w:bCs/>
          <w:sz w:val="18"/>
          <w:szCs w:val="18"/>
          <w:lang w:val="en-GB" w:eastAsia="en-GB"/>
        </w:rPr>
        <w:t>It is recommended that such early discussions involve the MAH(s), regulators and registry coordinators.</w:t>
      </w:r>
    </w:p>
    <w:p w:rsidR="00D47613" w:rsidRPr="0029175B" w:rsidRDefault="00D64049" w:rsidP="00AD4CBC">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 xml:space="preserve">It is important that the study proposal </w:t>
      </w:r>
      <w:r w:rsidR="003927FC">
        <w:rPr>
          <w:rFonts w:eastAsia="Verdana"/>
          <w:bCs/>
          <w:sz w:val="18"/>
          <w:szCs w:val="18"/>
          <w:lang w:val="en-GB" w:eastAsia="en-GB"/>
        </w:rPr>
        <w:t xml:space="preserve">submitted by a MAA/MAH to a registry holder </w:t>
      </w:r>
      <w:r w:rsidRPr="0029175B">
        <w:rPr>
          <w:rFonts w:eastAsia="Verdana"/>
          <w:bCs/>
          <w:sz w:val="18"/>
          <w:szCs w:val="18"/>
          <w:lang w:val="en-GB" w:eastAsia="en-GB"/>
        </w:rPr>
        <w:t xml:space="preserve">should be sufficient detailed as it will be used by registries and individual centres to assess whether they can participate </w:t>
      </w:r>
      <w:r w:rsidR="001F588F" w:rsidRPr="0029175B">
        <w:rPr>
          <w:rFonts w:eastAsia="Verdana"/>
          <w:bCs/>
          <w:sz w:val="18"/>
          <w:szCs w:val="18"/>
          <w:lang w:val="en-GB" w:eastAsia="en-GB"/>
        </w:rPr>
        <w:t xml:space="preserve">in the registry study </w:t>
      </w:r>
      <w:r w:rsidRPr="0029175B">
        <w:rPr>
          <w:rFonts w:eastAsia="Verdana"/>
          <w:bCs/>
          <w:sz w:val="18"/>
          <w:szCs w:val="18"/>
          <w:lang w:val="en-GB" w:eastAsia="en-GB"/>
        </w:rPr>
        <w:t>in terms of data availability and required quality standards.</w:t>
      </w:r>
      <w:r w:rsidR="00A00588" w:rsidRPr="0029175B">
        <w:rPr>
          <w:rFonts w:eastAsia="Verdana"/>
          <w:bCs/>
          <w:sz w:val="18"/>
          <w:szCs w:val="18"/>
          <w:lang w:val="en-GB" w:eastAsia="en-GB"/>
        </w:rPr>
        <w:t xml:space="preserve"> The study proposal</w:t>
      </w:r>
      <w:r w:rsidRPr="0029175B">
        <w:rPr>
          <w:rFonts w:eastAsia="Verdana"/>
          <w:bCs/>
          <w:sz w:val="18"/>
          <w:szCs w:val="18"/>
          <w:lang w:val="en-GB" w:eastAsia="en-GB"/>
        </w:rPr>
        <w:t xml:space="preserve"> should therefore </w:t>
      </w:r>
      <w:r w:rsidR="00A00588" w:rsidRPr="0029175B">
        <w:rPr>
          <w:rFonts w:eastAsia="Verdana"/>
          <w:bCs/>
          <w:sz w:val="18"/>
          <w:szCs w:val="18"/>
          <w:lang w:val="en-GB" w:eastAsia="en-GB"/>
        </w:rPr>
        <w:t xml:space="preserve">provide </w:t>
      </w:r>
      <w:r w:rsidR="001F588F" w:rsidRPr="0029175B">
        <w:rPr>
          <w:rFonts w:eastAsia="Verdana"/>
          <w:bCs/>
          <w:sz w:val="18"/>
          <w:szCs w:val="18"/>
          <w:lang w:val="en-GB" w:eastAsia="en-GB"/>
        </w:rPr>
        <w:t xml:space="preserve">detailed </w:t>
      </w:r>
      <w:r w:rsidRPr="0029175B">
        <w:rPr>
          <w:rFonts w:eastAsia="Verdana"/>
          <w:bCs/>
          <w:sz w:val="18"/>
          <w:szCs w:val="18"/>
          <w:lang w:val="en-GB" w:eastAsia="en-GB"/>
        </w:rPr>
        <w:t xml:space="preserve">requirements in terms of </w:t>
      </w:r>
      <w:r w:rsidR="00A00588" w:rsidRPr="0029175B">
        <w:rPr>
          <w:rFonts w:eastAsia="Verdana"/>
          <w:bCs/>
          <w:sz w:val="18"/>
          <w:szCs w:val="18"/>
          <w:lang w:val="en-GB" w:eastAsia="en-GB"/>
        </w:rPr>
        <w:t xml:space="preserve">data needed and </w:t>
      </w:r>
      <w:r w:rsidR="001F588F" w:rsidRPr="0029175B">
        <w:rPr>
          <w:rFonts w:eastAsia="Verdana"/>
          <w:bCs/>
          <w:sz w:val="18"/>
          <w:szCs w:val="18"/>
          <w:lang w:val="en-GB" w:eastAsia="en-GB"/>
        </w:rPr>
        <w:t>procedures for data collection, analysis and dissemination.</w:t>
      </w:r>
    </w:p>
    <w:p w:rsidR="00182AAF" w:rsidRPr="0029175B" w:rsidRDefault="00D64049" w:rsidP="005E4BD1">
      <w:pPr>
        <w:pStyle w:val="Heading2Agency"/>
      </w:pPr>
      <w:bookmarkStart w:id="118" w:name="_Toc528934957"/>
      <w:r w:rsidRPr="0029175B">
        <w:t>Study protocol</w:t>
      </w:r>
      <w:bookmarkEnd w:id="118"/>
    </w:p>
    <w:p w:rsidR="00467E9A" w:rsidRPr="0029175B" w:rsidRDefault="00D64049" w:rsidP="002132C3">
      <w:pPr>
        <w:pStyle w:val="Default"/>
        <w:spacing w:after="140" w:line="280" w:lineRule="exact"/>
        <w:rPr>
          <w:sz w:val="18"/>
          <w:szCs w:val="18"/>
          <w:lang w:val="en-GB"/>
        </w:rPr>
      </w:pPr>
      <w:r w:rsidRPr="0029175B">
        <w:rPr>
          <w:sz w:val="18"/>
          <w:szCs w:val="18"/>
          <w:lang w:val="en-GB"/>
        </w:rPr>
        <w:t xml:space="preserve">Patient </w:t>
      </w:r>
      <w:r w:rsidR="00E936DF">
        <w:rPr>
          <w:sz w:val="18"/>
          <w:szCs w:val="18"/>
          <w:lang w:val="en-GB"/>
        </w:rPr>
        <w:t xml:space="preserve">disease </w:t>
      </w:r>
      <w:r w:rsidRPr="0029175B">
        <w:rPr>
          <w:sz w:val="18"/>
          <w:szCs w:val="18"/>
          <w:lang w:val="en-GB"/>
        </w:rPr>
        <w:t xml:space="preserve">registries </w:t>
      </w:r>
      <w:r w:rsidR="00D52BFF" w:rsidRPr="0029175B">
        <w:rPr>
          <w:sz w:val="18"/>
          <w:szCs w:val="18"/>
          <w:lang w:val="en-GB"/>
        </w:rPr>
        <w:t xml:space="preserve">provide cohorts of patients </w:t>
      </w:r>
      <w:r w:rsidR="00442629" w:rsidRPr="0029175B">
        <w:rPr>
          <w:sz w:val="18"/>
          <w:szCs w:val="18"/>
          <w:lang w:val="en-GB"/>
        </w:rPr>
        <w:t xml:space="preserve">who can be analysed using </w:t>
      </w:r>
      <w:r w:rsidR="00D52BFF" w:rsidRPr="0029175B">
        <w:rPr>
          <w:sz w:val="18"/>
          <w:szCs w:val="18"/>
          <w:lang w:val="en-GB"/>
        </w:rPr>
        <w:t>different</w:t>
      </w:r>
      <w:r w:rsidR="0027295D" w:rsidRPr="0029175B">
        <w:rPr>
          <w:sz w:val="18"/>
          <w:szCs w:val="18"/>
          <w:lang w:val="en-GB"/>
        </w:rPr>
        <w:t xml:space="preserve"> types of</w:t>
      </w:r>
      <w:r w:rsidR="00B112DF">
        <w:rPr>
          <w:sz w:val="18"/>
          <w:szCs w:val="18"/>
          <w:lang w:val="en-GB"/>
        </w:rPr>
        <w:t xml:space="preserve"> study design and t</w:t>
      </w:r>
      <w:r w:rsidR="00D52BFF" w:rsidRPr="0029175B">
        <w:rPr>
          <w:sz w:val="18"/>
          <w:szCs w:val="18"/>
          <w:lang w:val="en-GB"/>
        </w:rPr>
        <w:t xml:space="preserve">he choice of the study design </w:t>
      </w:r>
      <w:r w:rsidR="00442629" w:rsidRPr="0029175B">
        <w:rPr>
          <w:sz w:val="18"/>
          <w:szCs w:val="18"/>
          <w:lang w:val="en-GB"/>
        </w:rPr>
        <w:t>should be the most appropriate for</w:t>
      </w:r>
      <w:r w:rsidR="00D52BFF" w:rsidRPr="0029175B">
        <w:rPr>
          <w:sz w:val="18"/>
          <w:szCs w:val="18"/>
          <w:lang w:val="en-GB"/>
        </w:rPr>
        <w:t xml:space="preserve"> the research question. </w:t>
      </w:r>
      <w:r w:rsidR="008C260A" w:rsidRPr="0029175B">
        <w:rPr>
          <w:sz w:val="18"/>
          <w:szCs w:val="18"/>
          <w:lang w:val="en-GB"/>
        </w:rPr>
        <w:t xml:space="preserve">Registry studies should follow the best methodological standards applicable to </w:t>
      </w:r>
      <w:r w:rsidR="003C768D" w:rsidRPr="0029175B">
        <w:rPr>
          <w:sz w:val="18"/>
          <w:szCs w:val="18"/>
          <w:lang w:val="en-GB"/>
        </w:rPr>
        <w:t>p</w:t>
      </w:r>
      <w:r w:rsidR="008C260A" w:rsidRPr="0029175B">
        <w:rPr>
          <w:sz w:val="18"/>
          <w:szCs w:val="18"/>
          <w:lang w:val="en-GB"/>
        </w:rPr>
        <w:t>harmacoepidemiological research</w:t>
      </w:r>
      <w:r w:rsidR="003B1B84">
        <w:rPr>
          <w:sz w:val="18"/>
          <w:szCs w:val="18"/>
          <w:lang w:val="en-GB"/>
        </w:rPr>
        <w:t xml:space="preserve"> and the protocol should describe measures foreseen to account for bias and confounding</w:t>
      </w:r>
      <w:r w:rsidR="008C260A" w:rsidRPr="0029175B">
        <w:rPr>
          <w:sz w:val="18"/>
          <w:szCs w:val="18"/>
          <w:lang w:val="en-GB"/>
        </w:rPr>
        <w:t xml:space="preserve"> </w:t>
      </w:r>
      <w:r w:rsidR="003B1B84">
        <w:rPr>
          <w:sz w:val="18"/>
          <w:szCs w:val="18"/>
          <w:lang w:val="en-GB"/>
        </w:rPr>
        <w:t xml:space="preserve">and ensure the internal validity of the study. It </w:t>
      </w:r>
      <w:r w:rsidR="008C260A" w:rsidRPr="0029175B">
        <w:rPr>
          <w:sz w:val="18"/>
          <w:szCs w:val="18"/>
          <w:lang w:val="en-GB"/>
        </w:rPr>
        <w:t>is not an objective of this document to</w:t>
      </w:r>
      <w:r w:rsidR="003B1B84">
        <w:rPr>
          <w:sz w:val="18"/>
          <w:szCs w:val="18"/>
          <w:lang w:val="en-GB"/>
        </w:rPr>
        <w:t xml:space="preserve"> </w:t>
      </w:r>
      <w:r w:rsidR="003B1B84" w:rsidRPr="0029175B">
        <w:rPr>
          <w:sz w:val="18"/>
          <w:szCs w:val="18"/>
          <w:lang w:val="en-GB"/>
        </w:rPr>
        <w:t>rep</w:t>
      </w:r>
      <w:r w:rsidR="003B1B84">
        <w:rPr>
          <w:sz w:val="18"/>
          <w:szCs w:val="18"/>
          <w:lang w:val="en-GB"/>
        </w:rPr>
        <w:t>licate</w:t>
      </w:r>
      <w:r w:rsidR="003B1B84" w:rsidRPr="0029175B">
        <w:rPr>
          <w:sz w:val="18"/>
          <w:szCs w:val="18"/>
          <w:lang w:val="en-GB"/>
        </w:rPr>
        <w:t xml:space="preserve"> </w:t>
      </w:r>
      <w:r w:rsidR="008C260A" w:rsidRPr="0029175B">
        <w:rPr>
          <w:sz w:val="18"/>
          <w:szCs w:val="18"/>
          <w:lang w:val="en-GB"/>
        </w:rPr>
        <w:t>methodological guidance available elsewhere such as in the ENCePP Guide on methodological standards in pharmacoepidemiology</w:t>
      </w:r>
      <w:r w:rsidR="007B6BDD" w:rsidRPr="0029175B">
        <w:rPr>
          <w:sz w:val="18"/>
          <w:szCs w:val="18"/>
          <w:lang w:val="en-GB"/>
        </w:rPr>
        <w:t xml:space="preserve"> </w:t>
      </w:r>
      <w:r w:rsidR="007B6BDD" w:rsidRPr="0029175B">
        <w:rPr>
          <w:sz w:val="18"/>
          <w:szCs w:val="18"/>
          <w:lang w:val="en-GB"/>
        </w:rPr>
        <w:fldChar w:fldCharType="begin"/>
      </w:r>
      <w:r w:rsidR="005E2E45">
        <w:rPr>
          <w:sz w:val="18"/>
          <w:szCs w:val="18"/>
          <w:lang w:val="en-GB"/>
        </w:rPr>
        <w:instrText xml:space="preserve"> ADDIN ZOTERO_ITEM CSL_CITATION {"citationID":"auavnkpkaq","properties":{"formattedCitation":"(14)","plainCitation":"(14)"},"citationItems":[{"id":2254,"uris":["http://zotero.org/users/local/tAKp4fcl/items/ZMZXWB4T"],"uri":["http://zotero.org/users/local/tAKp4fcl/items/ZMZXWB4T"],"itemData":{"id":2254,"type":"webpage","title":"ENCePP Guide on Methodological Standards in Pharmacoepidemiology","URL":"http://www.encepp.eu/standards_and_guidances/methodologicalGuide.shtml","author":[{"literal":"ENCePP, European Network of Centres for Pharmacoepidemiology and Pharmacovigilance"}]}}],"schema":"https://github.com/citation-style-language/schema/raw/master/csl-citation.json"} </w:instrText>
      </w:r>
      <w:r w:rsidR="007B6BDD" w:rsidRPr="0029175B">
        <w:rPr>
          <w:sz w:val="18"/>
          <w:szCs w:val="18"/>
          <w:lang w:val="en-GB"/>
        </w:rPr>
        <w:fldChar w:fldCharType="separate"/>
      </w:r>
      <w:r w:rsidR="005E2E45" w:rsidRPr="005E2E45">
        <w:rPr>
          <w:sz w:val="18"/>
        </w:rPr>
        <w:t>(14)</w:t>
      </w:r>
      <w:r w:rsidR="007B6BDD" w:rsidRPr="0029175B">
        <w:rPr>
          <w:sz w:val="18"/>
          <w:szCs w:val="18"/>
          <w:lang w:val="en-GB"/>
        </w:rPr>
        <w:fldChar w:fldCharType="end"/>
      </w:r>
      <w:r w:rsidR="008C260A" w:rsidRPr="0029175B">
        <w:rPr>
          <w:sz w:val="18"/>
          <w:szCs w:val="18"/>
          <w:lang w:val="en-GB"/>
        </w:rPr>
        <w:t>.</w:t>
      </w:r>
      <w:r w:rsidR="00BE2379" w:rsidRPr="0029175B">
        <w:rPr>
          <w:sz w:val="18"/>
          <w:szCs w:val="18"/>
          <w:lang w:val="en-GB"/>
        </w:rPr>
        <w:t xml:space="preserve"> </w:t>
      </w:r>
      <w:r w:rsidR="003B1B84">
        <w:rPr>
          <w:sz w:val="18"/>
          <w:szCs w:val="18"/>
          <w:lang w:val="en-GB"/>
        </w:rPr>
        <w:t>The ENCePP Checklist for Study Protocols</w:t>
      </w:r>
      <w:r w:rsidR="00730B0C">
        <w:rPr>
          <w:sz w:val="18"/>
          <w:szCs w:val="18"/>
          <w:lang w:val="en-GB"/>
        </w:rPr>
        <w:t xml:space="preserve"> </w:t>
      </w:r>
      <w:r w:rsidR="007C0735">
        <w:rPr>
          <w:sz w:val="18"/>
          <w:szCs w:val="18"/>
          <w:lang w:val="en-GB"/>
        </w:rPr>
        <w:fldChar w:fldCharType="begin"/>
      </w:r>
      <w:r w:rsidR="00861617">
        <w:rPr>
          <w:sz w:val="18"/>
          <w:szCs w:val="18"/>
          <w:lang w:val="en-GB"/>
        </w:rPr>
        <w:instrText xml:space="preserve"> ADDIN ZOTERO_ITEM CSL_CITATION {"citationID":"acqtk66j4e","properties":{"formattedCitation":"(28)","plainCitation":"(28)","dontUpdate":true},"citationItems":[{"id":2256,"uris":["http://zotero.org/users/local/tAKp4fcl/items/YKL69C8L"],"uri":["http://zotero.org/users/local/tAKp4fcl/items/YKL69C8L"],"itemData":{"id":2256,"type":"webpage","title":"ENCePP Checklist for Study Protocols. Revision 4","URL":"http://www.encepp.eu/standards_and_guidances/checkListProtocols.shtml","author":[{"literal":"ENCePP, European Network of Centres for Pharmacoepidemiology and Pharmacovigilance"}]}}],"schema":"https://github.com/citation-style-language/schema/raw/master/csl-citation.json"} </w:instrText>
      </w:r>
      <w:r w:rsidR="007C0735">
        <w:rPr>
          <w:sz w:val="18"/>
          <w:szCs w:val="18"/>
          <w:lang w:val="en-GB"/>
        </w:rPr>
        <w:fldChar w:fldCharType="separate"/>
      </w:r>
      <w:r w:rsidR="007C0735" w:rsidRPr="006E7959">
        <w:rPr>
          <w:sz w:val="18"/>
        </w:rPr>
        <w:t>(</w:t>
      </w:r>
      <w:r w:rsidR="006B7EEA">
        <w:rPr>
          <w:sz w:val="18"/>
        </w:rPr>
        <w:t>35</w:t>
      </w:r>
      <w:r w:rsidR="007C0735" w:rsidRPr="006E7959">
        <w:rPr>
          <w:sz w:val="18"/>
        </w:rPr>
        <w:t>)</w:t>
      </w:r>
      <w:r w:rsidR="007C0735">
        <w:rPr>
          <w:sz w:val="18"/>
          <w:szCs w:val="18"/>
          <w:lang w:val="en-GB"/>
        </w:rPr>
        <w:fldChar w:fldCharType="end"/>
      </w:r>
      <w:r w:rsidR="003B1B84">
        <w:rPr>
          <w:sz w:val="18"/>
          <w:szCs w:val="18"/>
          <w:lang w:val="en-GB"/>
        </w:rPr>
        <w:t xml:space="preserve"> </w:t>
      </w:r>
      <w:r w:rsidR="00A24700">
        <w:rPr>
          <w:sz w:val="18"/>
          <w:szCs w:val="18"/>
          <w:lang w:val="en-GB"/>
        </w:rPr>
        <w:t>lists</w:t>
      </w:r>
      <w:r w:rsidR="001C4B45">
        <w:rPr>
          <w:sz w:val="18"/>
          <w:szCs w:val="18"/>
          <w:lang w:val="en-GB"/>
        </w:rPr>
        <w:t xml:space="preserve"> important questions to be considered when designing a study and writing a protocol.</w:t>
      </w:r>
    </w:p>
    <w:p w:rsidR="002132C3" w:rsidRPr="0029175B" w:rsidRDefault="00D64049" w:rsidP="002132C3">
      <w:pPr>
        <w:pStyle w:val="Default"/>
        <w:spacing w:after="140" w:line="280" w:lineRule="exact"/>
        <w:rPr>
          <w:sz w:val="18"/>
          <w:szCs w:val="18"/>
          <w:lang w:val="en-GB"/>
        </w:rPr>
      </w:pPr>
      <w:r w:rsidRPr="0029175B">
        <w:rPr>
          <w:sz w:val="18"/>
          <w:szCs w:val="18"/>
          <w:lang w:val="en-GB"/>
        </w:rPr>
        <w:t xml:space="preserve">An early decision to be made when designing a registry study is the choice of </w:t>
      </w:r>
      <w:r w:rsidR="0027295D" w:rsidRPr="0029175B">
        <w:rPr>
          <w:sz w:val="18"/>
          <w:szCs w:val="18"/>
          <w:lang w:val="en-GB"/>
        </w:rPr>
        <w:t xml:space="preserve">the </w:t>
      </w:r>
      <w:r w:rsidRPr="0029175B">
        <w:rPr>
          <w:sz w:val="18"/>
          <w:szCs w:val="18"/>
          <w:lang w:val="en-GB"/>
        </w:rPr>
        <w:t xml:space="preserve">data collection method: secondary data collection, where the data for the study are already available and extracted from a dataset, and primary data collection, where </w:t>
      </w:r>
      <w:r w:rsidR="00467E9A" w:rsidRPr="0029175B">
        <w:rPr>
          <w:sz w:val="18"/>
          <w:szCs w:val="18"/>
          <w:lang w:val="en-GB"/>
        </w:rPr>
        <w:t xml:space="preserve">the </w:t>
      </w:r>
      <w:r w:rsidR="005C070F" w:rsidRPr="0029175B">
        <w:rPr>
          <w:sz w:val="18"/>
          <w:szCs w:val="18"/>
          <w:lang w:val="en-GB"/>
        </w:rPr>
        <w:t xml:space="preserve">events of interest for the study are collected directly from patients as they </w:t>
      </w:r>
      <w:r w:rsidR="0027295D" w:rsidRPr="0029175B">
        <w:rPr>
          <w:sz w:val="18"/>
          <w:szCs w:val="18"/>
          <w:lang w:val="en-GB"/>
        </w:rPr>
        <w:t>come to the attention of the investigator</w:t>
      </w:r>
      <w:r w:rsidRPr="0029175B">
        <w:rPr>
          <w:sz w:val="18"/>
          <w:szCs w:val="18"/>
          <w:lang w:val="en-GB"/>
        </w:rPr>
        <w:t xml:space="preserve">. This choice has implications </w:t>
      </w:r>
      <w:r w:rsidR="00E47430">
        <w:rPr>
          <w:sz w:val="18"/>
          <w:szCs w:val="18"/>
          <w:lang w:val="en-GB"/>
        </w:rPr>
        <w:t>for</w:t>
      </w:r>
      <w:r w:rsidRPr="0029175B">
        <w:rPr>
          <w:sz w:val="18"/>
          <w:szCs w:val="18"/>
          <w:lang w:val="en-GB"/>
        </w:rPr>
        <w:t xml:space="preserve"> safety rep</w:t>
      </w:r>
      <w:r w:rsidR="00467E9A" w:rsidRPr="0029175B">
        <w:rPr>
          <w:sz w:val="18"/>
          <w:szCs w:val="18"/>
          <w:lang w:val="en-GB"/>
        </w:rPr>
        <w:t xml:space="preserve">orting (see chapter </w:t>
      </w:r>
      <w:r w:rsidR="00E4276B" w:rsidRPr="0029175B">
        <w:rPr>
          <w:sz w:val="18"/>
          <w:szCs w:val="18"/>
          <w:lang w:val="en-GB"/>
        </w:rPr>
        <w:t>6</w:t>
      </w:r>
      <w:r w:rsidR="00467E9A" w:rsidRPr="0029175B">
        <w:rPr>
          <w:sz w:val="18"/>
          <w:szCs w:val="18"/>
          <w:lang w:val="en-GB"/>
        </w:rPr>
        <w:t xml:space="preserve">.8) and should be clearly </w:t>
      </w:r>
      <w:r w:rsidR="005C070F" w:rsidRPr="0029175B">
        <w:rPr>
          <w:sz w:val="18"/>
          <w:szCs w:val="18"/>
          <w:lang w:val="en-GB"/>
        </w:rPr>
        <w:t>specified</w:t>
      </w:r>
      <w:r w:rsidR="00467E9A" w:rsidRPr="0029175B">
        <w:rPr>
          <w:sz w:val="18"/>
          <w:szCs w:val="18"/>
          <w:lang w:val="en-GB"/>
        </w:rPr>
        <w:t xml:space="preserve"> in the study protocol.</w:t>
      </w:r>
    </w:p>
    <w:p w:rsidR="00182AAF" w:rsidRPr="0029175B" w:rsidRDefault="00D64049" w:rsidP="00182AAF">
      <w:pPr>
        <w:pStyle w:val="BodytextAgency"/>
      </w:pPr>
      <w:r w:rsidRPr="0029175B">
        <w:t xml:space="preserve">The study protocol should follow the recommendations </w:t>
      </w:r>
      <w:r w:rsidR="00DE1F3F" w:rsidRPr="0029175B">
        <w:t>of</w:t>
      </w:r>
      <w:r w:rsidRPr="0029175B">
        <w:t xml:space="preserve"> the GVP Module VIII and the technical guidance on the format and content of the protocol for non-interventional </w:t>
      </w:r>
      <w:r w:rsidR="00E936DF">
        <w:t>PASS</w:t>
      </w:r>
      <w:r w:rsidR="007B6BDD" w:rsidRPr="0029175B">
        <w:t xml:space="preserve"> </w:t>
      </w:r>
      <w:r w:rsidR="007B6BDD" w:rsidRPr="0029175B">
        <w:fldChar w:fldCharType="begin"/>
      </w:r>
      <w:r w:rsidR="005E2E45">
        <w:instrText xml:space="preserve"> ADDIN ZOTERO_ITEM CSL_CITATION {"citationID":"abo7mcpsge","properties":{"formattedCitation":"(36)","plainCitation":"(36)"},"citationItems":[{"id":2249,"uris":["http://zotero.org/users/local/tAKp4fcl/items/4HLMAE28"],"uri":["http://zotero.org/users/local/tAKp4fcl/items/4HLMAE28"],"itemData":{"id":2249,"type":"article","title":"Guidance for the format and content of the protocol of non-interventional post-authorisation safety studies EMA/623947/2012","URL":"http://www.ema.europa.eu/docs/en_GB/document_library/Other/2012/10/WC500133174.pdf","author":[{"literal":"European Medicines Agency (EMA)"}],"issued":{"date-parts":[["2012",9,26]]}}}],"schema":"https://github.com/citation-style-language/schema/raw/master/csl-citation.json"} </w:instrText>
      </w:r>
      <w:r w:rsidR="007B6BDD" w:rsidRPr="0029175B">
        <w:fldChar w:fldCharType="separate"/>
      </w:r>
      <w:r w:rsidR="005E2E45" w:rsidRPr="005E2E45">
        <w:t>(36)</w:t>
      </w:r>
      <w:r w:rsidR="007B6BDD" w:rsidRPr="0029175B">
        <w:fldChar w:fldCharType="end"/>
      </w:r>
      <w:r w:rsidRPr="0029175B">
        <w:t>. For regulatory studies</w:t>
      </w:r>
      <w:r w:rsidR="005B0205" w:rsidRPr="0029175B">
        <w:t xml:space="preserve"> addressing a class of products where all concerned MAHs have the same obligation to perform a study, </w:t>
      </w:r>
      <w:r w:rsidR="00A53F09" w:rsidRPr="0029175B">
        <w:t>MAHs are encouraged to design</w:t>
      </w:r>
      <w:r w:rsidR="005B0205" w:rsidRPr="0029175B">
        <w:t xml:space="preserve"> a </w:t>
      </w:r>
      <w:r w:rsidR="000D3A31" w:rsidRPr="0029175B">
        <w:t>joint</w:t>
      </w:r>
      <w:r w:rsidR="005B0205" w:rsidRPr="0029175B">
        <w:t xml:space="preserve"> registry study based on a single protocol.</w:t>
      </w:r>
      <w:r w:rsidR="000D3A31" w:rsidRPr="0029175B">
        <w:t xml:space="preserve"> If a registry study is to be </w:t>
      </w:r>
      <w:r w:rsidRPr="0029175B">
        <w:t xml:space="preserve">conducted across multiple </w:t>
      </w:r>
      <w:r w:rsidR="00327FF3">
        <w:t>sites</w:t>
      </w:r>
      <w:r w:rsidRPr="0029175B">
        <w:t>, a common protocol needs t</w:t>
      </w:r>
      <w:r w:rsidR="000D3A31" w:rsidRPr="0029175B">
        <w:t>o</w:t>
      </w:r>
      <w:r w:rsidRPr="0029175B">
        <w:t xml:space="preserve"> be developed based on core common data elements</w:t>
      </w:r>
      <w:r w:rsidR="000D3A31" w:rsidRPr="0029175B">
        <w:t xml:space="preserve"> and common design even if some aspects of the study may vary according to the characteristics of each registry</w:t>
      </w:r>
      <w:r w:rsidRPr="0029175B">
        <w:t xml:space="preserve">. </w:t>
      </w:r>
      <w:r w:rsidR="000D3A31" w:rsidRPr="0029175B">
        <w:t>In some registries, a</w:t>
      </w:r>
      <w:r w:rsidRPr="0029175B">
        <w:t>dditional data may need</w:t>
      </w:r>
      <w:r w:rsidR="000D3A31" w:rsidRPr="0029175B">
        <w:t xml:space="preserve"> to be collected</w:t>
      </w:r>
      <w:r w:rsidRPr="0029175B">
        <w:t xml:space="preserve"> and these may need to include a request for </w:t>
      </w:r>
      <w:r w:rsidR="00D90BB8">
        <w:t>pseudonymised</w:t>
      </w:r>
      <w:r w:rsidRPr="0029175B">
        <w:t xml:space="preserve"> individ</w:t>
      </w:r>
      <w:r w:rsidR="00B42833" w:rsidRPr="0029175B">
        <w:t xml:space="preserve">ual patient data if appropriate and </w:t>
      </w:r>
      <w:r w:rsidR="00D2081B" w:rsidRPr="0029175B">
        <w:t xml:space="preserve">to </w:t>
      </w:r>
      <w:r w:rsidR="00B42833" w:rsidRPr="0029175B">
        <w:t>require additional informed consent.</w:t>
      </w:r>
      <w:r w:rsidR="00E11EA4" w:rsidRPr="0029175B">
        <w:t xml:space="preserve"> The protocol should </w:t>
      </w:r>
      <w:r w:rsidR="00A53F09" w:rsidRPr="0029175B">
        <w:t xml:space="preserve">also </w:t>
      </w:r>
      <w:r w:rsidR="00E11EA4" w:rsidRPr="0029175B">
        <w:t xml:space="preserve">provide details on mechanisms put in place to identify and collect missing data as well as to minimise </w:t>
      </w:r>
      <w:r w:rsidR="001123A2" w:rsidRPr="0029175B">
        <w:t xml:space="preserve">the number of </w:t>
      </w:r>
      <w:r w:rsidR="00E11EA4" w:rsidRPr="0029175B">
        <w:t>patient</w:t>
      </w:r>
      <w:r w:rsidR="001123A2" w:rsidRPr="0029175B">
        <w:t>s</w:t>
      </w:r>
      <w:r w:rsidR="00E11EA4" w:rsidRPr="0029175B">
        <w:t xml:space="preserve"> lost to follow up.</w:t>
      </w:r>
    </w:p>
    <w:p w:rsidR="00D52BFF" w:rsidRPr="0029175B" w:rsidRDefault="00D64049" w:rsidP="00182AAF">
      <w:pPr>
        <w:pStyle w:val="BodytextAgency"/>
      </w:pPr>
      <w:r w:rsidRPr="0029175B">
        <w:lastRenderedPageBreak/>
        <w:t xml:space="preserve">The protocol should provide an estimation of the study size </w:t>
      </w:r>
      <w:r w:rsidR="00DC773B">
        <w:t xml:space="preserve">and the </w:t>
      </w:r>
      <w:r w:rsidR="005527C4" w:rsidRPr="0029175B">
        <w:t>feasibility of attaining this sample size within the registry should also be assessed</w:t>
      </w:r>
      <w:r w:rsidR="007F6C46" w:rsidRPr="0029175B">
        <w:t xml:space="preserve"> using conservative assumptions</w:t>
      </w:r>
      <w:r w:rsidR="00A53F09" w:rsidRPr="0029175B">
        <w:t xml:space="preserve"> (or a previous feasibility analysis)</w:t>
      </w:r>
      <w:r w:rsidR="005527C4" w:rsidRPr="0029175B">
        <w:t xml:space="preserve">, both in terms of number of patients (taking into account </w:t>
      </w:r>
      <w:r w:rsidR="00C169DC">
        <w:t>the</w:t>
      </w:r>
      <w:r w:rsidR="00C169DC" w:rsidRPr="0029175B">
        <w:t xml:space="preserve"> </w:t>
      </w:r>
      <w:r w:rsidR="005527C4" w:rsidRPr="0029175B">
        <w:t>inclusion and exclusion criteria) and in terms of duration of follow-up</w:t>
      </w:r>
      <w:r w:rsidR="00CC1B55" w:rsidRPr="0029175B">
        <w:t xml:space="preserve"> based on</w:t>
      </w:r>
      <w:r w:rsidR="005527C4" w:rsidRPr="0029175B">
        <w:t xml:space="preserve"> assumption</w:t>
      </w:r>
      <w:r w:rsidR="00AB3BF3" w:rsidRPr="0029175B">
        <w:t>s for</w:t>
      </w:r>
      <w:r w:rsidR="005527C4" w:rsidRPr="0029175B">
        <w:t xml:space="preserve"> </w:t>
      </w:r>
      <w:r w:rsidR="00CC1B55" w:rsidRPr="0029175B">
        <w:t>losses to follow-up</w:t>
      </w:r>
      <w:r w:rsidR="005527C4" w:rsidRPr="0029175B">
        <w:t xml:space="preserve">. </w:t>
      </w:r>
      <w:r w:rsidR="00A70282">
        <w:t xml:space="preserve"> </w:t>
      </w:r>
      <w:r w:rsidR="00C5465F" w:rsidRPr="0029175B">
        <w:t xml:space="preserve">Where there are doubts </w:t>
      </w:r>
      <w:r w:rsidR="007F6C46" w:rsidRPr="0029175B">
        <w:t>about the possibility to achieve the sample size, t</w:t>
      </w:r>
      <w:r w:rsidR="005527C4" w:rsidRPr="0029175B">
        <w:t>he possibility to exten</w:t>
      </w:r>
      <w:r w:rsidR="00C169DC">
        <w:t>d</w:t>
      </w:r>
      <w:r w:rsidR="005527C4" w:rsidRPr="0029175B">
        <w:t xml:space="preserve"> the study population by recruiting one or several other registry(-ies) should be discussed.</w:t>
      </w:r>
    </w:p>
    <w:p w:rsidR="00182AAF" w:rsidRPr="0029175B" w:rsidRDefault="00D64049" w:rsidP="00640CF2">
      <w:pPr>
        <w:pStyle w:val="BodytextAgency"/>
      </w:pPr>
      <w:r w:rsidRPr="0029175B">
        <w:t xml:space="preserve">For imposed </w:t>
      </w:r>
      <w:r w:rsidR="007C22F1">
        <w:t xml:space="preserve">(category 1 and category 2) </w:t>
      </w:r>
      <w:r w:rsidRPr="0029175B">
        <w:t>regulatory PASS, the final protocol should be endorsed by the PRAC before the study starts</w:t>
      </w:r>
      <w:r w:rsidR="00D2081B" w:rsidRPr="0029175B">
        <w:t xml:space="preserve">. </w:t>
      </w:r>
      <w:r w:rsidR="007C22F1">
        <w:t>For non-imposed (category 3</w:t>
      </w:r>
      <w:r w:rsidR="00C47122">
        <w:t>)</w:t>
      </w:r>
      <w:r w:rsidR="007C22F1">
        <w:t xml:space="preserve"> studies</w:t>
      </w:r>
      <w:r w:rsidR="00C47122">
        <w:t xml:space="preserve"> included in</w:t>
      </w:r>
      <w:r w:rsidR="007C22F1">
        <w:t xml:space="preserve"> a RMP, the protocol may also need to be agreed by regulators </w:t>
      </w:r>
      <w:r w:rsidR="00C47122">
        <w:t>upon request from</w:t>
      </w:r>
      <w:r w:rsidR="007C22F1">
        <w:t xml:space="preserve"> a PRAC or CHMP Rapporteur. </w:t>
      </w:r>
      <w:r w:rsidR="00D2081B" w:rsidRPr="0029175B">
        <w:t xml:space="preserve">Although subsequent </w:t>
      </w:r>
      <w:r w:rsidRPr="0029175B">
        <w:t>amendment</w:t>
      </w:r>
      <w:r w:rsidR="00D2081B" w:rsidRPr="0029175B">
        <w:t xml:space="preserve">s to the protocol are possible, </w:t>
      </w:r>
      <w:r w:rsidR="00181868" w:rsidRPr="0029175B">
        <w:t xml:space="preserve">these should be avoided as much as possible as </w:t>
      </w:r>
      <w:r w:rsidR="00640CF2" w:rsidRPr="0029175B">
        <w:t xml:space="preserve">new </w:t>
      </w:r>
      <w:r w:rsidR="00181868" w:rsidRPr="0029175B">
        <w:t>requests</w:t>
      </w:r>
      <w:r w:rsidR="00640CF2" w:rsidRPr="0029175B">
        <w:t xml:space="preserve">, especially for additional data elements, may be time-consuming to implement and </w:t>
      </w:r>
      <w:r w:rsidR="003C768D" w:rsidRPr="0029175B">
        <w:t xml:space="preserve">they may </w:t>
      </w:r>
      <w:r w:rsidR="00640CF2" w:rsidRPr="0029175B">
        <w:t>require additional funding.</w:t>
      </w:r>
      <w:r w:rsidRPr="0029175B">
        <w:t xml:space="preserve"> </w:t>
      </w:r>
    </w:p>
    <w:p w:rsidR="00B00DAC" w:rsidRPr="0029175B" w:rsidRDefault="00D64049" w:rsidP="005E4BD1">
      <w:pPr>
        <w:pStyle w:val="Heading2Agency"/>
      </w:pPr>
      <w:bookmarkStart w:id="119" w:name="_Toc528934958"/>
      <w:r w:rsidRPr="0029175B">
        <w:t>Study population</w:t>
      </w:r>
      <w:bookmarkEnd w:id="119"/>
    </w:p>
    <w:p w:rsidR="00C169DC" w:rsidRDefault="00D64049" w:rsidP="00B00DAC">
      <w:pPr>
        <w:pStyle w:val="BodytextAgency"/>
      </w:pPr>
      <w:r w:rsidRPr="0029175B">
        <w:t xml:space="preserve">The registry patient population represents the source population from </w:t>
      </w:r>
      <w:r w:rsidR="009A1ED3" w:rsidRPr="0029175B">
        <w:t xml:space="preserve">which </w:t>
      </w:r>
      <w:r w:rsidRPr="0029175B">
        <w:t>the study population will be selected for a registry study</w:t>
      </w:r>
      <w:r w:rsidR="00C5465F" w:rsidRPr="0029175B">
        <w:t xml:space="preserve"> based on inclusion and exclusion criteria</w:t>
      </w:r>
      <w:r w:rsidRPr="0029175B">
        <w:t xml:space="preserve">. </w:t>
      </w:r>
      <w:r w:rsidR="009A1ED3" w:rsidRPr="0029175B">
        <w:t xml:space="preserve">Depending on the objectives of the study, the study </w:t>
      </w:r>
      <w:r w:rsidR="005A717F" w:rsidRPr="0029175B">
        <w:t>population may be identified through extraction of data already collected routine</w:t>
      </w:r>
      <w:r w:rsidR="00DD7FE8" w:rsidRPr="0029175B">
        <w:t>ly in the</w:t>
      </w:r>
      <w:r w:rsidR="005A717F" w:rsidRPr="0029175B">
        <w:t xml:space="preserve"> registry. In this situation, methodological challenges to be considered are comparable to those met in using electronic health records, such as choice of index date, definition of exposure periods, </w:t>
      </w:r>
      <w:r w:rsidR="003C23B1" w:rsidRPr="0029175B">
        <w:t>definition of outcomes, choice of comparator groups, etc</w:t>
      </w:r>
      <w:r w:rsidR="00EF5AD4">
        <w:t xml:space="preserve">. </w:t>
      </w:r>
      <w:r w:rsidR="003C23B1" w:rsidRPr="0029175B">
        <w:t xml:space="preserve"> </w:t>
      </w:r>
    </w:p>
    <w:p w:rsidR="00D47613" w:rsidRPr="0029175B" w:rsidRDefault="00D64049" w:rsidP="00B00DAC">
      <w:pPr>
        <w:pStyle w:val="BodytextAgency"/>
      </w:pPr>
      <w:r w:rsidRPr="0029175B">
        <w:t xml:space="preserve">When </w:t>
      </w:r>
      <w:r w:rsidR="00AA640E" w:rsidRPr="0029175B">
        <w:t xml:space="preserve">the safety or effectiveness of </w:t>
      </w:r>
      <w:r w:rsidR="005234A7" w:rsidRPr="0029175B">
        <w:t xml:space="preserve">a </w:t>
      </w:r>
      <w:r w:rsidRPr="0029175B">
        <w:t>new treatment</w:t>
      </w:r>
      <w:r w:rsidR="00AA640E" w:rsidRPr="0029175B">
        <w:t xml:space="preserve"> need to be monitored in a disease registry, </w:t>
      </w:r>
      <w:r w:rsidR="006327F7" w:rsidRPr="0029175B">
        <w:t xml:space="preserve">the study population will most often include </w:t>
      </w:r>
      <w:r w:rsidR="009358FB">
        <w:t xml:space="preserve">new users who are </w:t>
      </w:r>
      <w:r w:rsidR="006327F7" w:rsidRPr="0029175B">
        <w:t xml:space="preserve">either patients with a new </w:t>
      </w:r>
      <w:r w:rsidR="00C169DC" w:rsidRPr="0029175B">
        <w:t>diagnos</w:t>
      </w:r>
      <w:r w:rsidR="00C169DC">
        <w:t>is</w:t>
      </w:r>
      <w:r w:rsidR="00C169DC" w:rsidRPr="0029175B">
        <w:t xml:space="preserve"> </w:t>
      </w:r>
      <w:r w:rsidR="006327F7" w:rsidRPr="0029175B">
        <w:t>of the disease</w:t>
      </w:r>
      <w:r w:rsidR="005234A7" w:rsidRPr="0029175B">
        <w:t xml:space="preserve"> and a first prescription</w:t>
      </w:r>
      <w:r w:rsidR="006327F7" w:rsidRPr="0029175B">
        <w:t xml:space="preserve"> (incident patients) or patients already included in the registry </w:t>
      </w:r>
      <w:r w:rsidR="00C169DC">
        <w:t>and switched from an earlier treatment to the new one</w:t>
      </w:r>
      <w:r w:rsidR="006327F7" w:rsidRPr="0029175B">
        <w:t xml:space="preserve"> (prevalent patients). </w:t>
      </w:r>
      <w:r w:rsidR="005234A7" w:rsidRPr="0029175B">
        <w:t>The choice of inclu</w:t>
      </w:r>
      <w:r w:rsidR="00C5465F" w:rsidRPr="0029175B">
        <w:t>ding</w:t>
      </w:r>
      <w:r w:rsidR="005234A7" w:rsidRPr="0029175B">
        <w:t xml:space="preserve"> incident or prevalent patients in the study population has </w:t>
      </w:r>
      <w:r w:rsidR="009869B3" w:rsidRPr="0029175B">
        <w:t>important</w:t>
      </w:r>
      <w:r w:rsidR="005234A7" w:rsidRPr="0029175B">
        <w:t xml:space="preserve"> implications for the data analysis and the interpretation of the results (see section </w:t>
      </w:r>
      <w:r w:rsidR="00E4276B" w:rsidRPr="0029175B">
        <w:t>6</w:t>
      </w:r>
      <w:r w:rsidR="005234A7" w:rsidRPr="0029175B">
        <w:t>.</w:t>
      </w:r>
      <w:r w:rsidR="008C7752" w:rsidRPr="0029175B">
        <w:t>7</w:t>
      </w:r>
      <w:r w:rsidR="005234A7" w:rsidRPr="0029175B">
        <w:t xml:space="preserve">). It </w:t>
      </w:r>
      <w:r w:rsidR="00AC1F7A">
        <w:t>is</w:t>
      </w:r>
      <w:r w:rsidR="00AC1F7A" w:rsidRPr="0029175B">
        <w:t xml:space="preserve"> </w:t>
      </w:r>
      <w:r w:rsidR="005234A7" w:rsidRPr="0029175B">
        <w:t xml:space="preserve">therefore </w:t>
      </w:r>
      <w:r w:rsidR="004B77F6">
        <w:t>recommended</w:t>
      </w:r>
      <w:r w:rsidR="004B77F6" w:rsidRPr="0029175B">
        <w:t xml:space="preserve"> </w:t>
      </w:r>
      <w:r w:rsidR="005234A7" w:rsidRPr="0029175B">
        <w:t xml:space="preserve">to include all patients receiving the new treatment in the study population </w:t>
      </w:r>
      <w:r w:rsidR="00961C90" w:rsidRPr="0029175B">
        <w:t>and collect the data needed to distinguish incident and prevalent patients and identify possible diffe</w:t>
      </w:r>
      <w:r w:rsidR="009869B3" w:rsidRPr="0029175B">
        <w:t xml:space="preserve">rences in their characteristics. </w:t>
      </w:r>
      <w:r w:rsidR="009358FB" w:rsidRPr="009358FB">
        <w:t xml:space="preserve">A description of the characteristics of </w:t>
      </w:r>
      <w:r w:rsidR="00116C7F">
        <w:t>new users</w:t>
      </w:r>
      <w:r w:rsidR="009358FB" w:rsidRPr="009358FB">
        <w:t xml:space="preserve"> in comparison to patients </w:t>
      </w:r>
      <w:r w:rsidR="009358FB">
        <w:t>included</w:t>
      </w:r>
      <w:r w:rsidR="009358FB" w:rsidRPr="009358FB">
        <w:t xml:space="preserve"> in clinical trials</w:t>
      </w:r>
      <w:r w:rsidR="004A57B7">
        <w:t xml:space="preserve"> may also provide useful information </w:t>
      </w:r>
      <w:r w:rsidR="00116C7F">
        <w:t>to interpret</w:t>
      </w:r>
      <w:r w:rsidR="004A57B7">
        <w:t xml:space="preserve"> </w:t>
      </w:r>
      <w:r w:rsidR="00116C7F">
        <w:t xml:space="preserve">the </w:t>
      </w:r>
      <w:r w:rsidR="004A57B7">
        <w:t>data collected in the study.</w:t>
      </w:r>
      <w:r w:rsidR="00116C7F">
        <w:t xml:space="preserve"> </w:t>
      </w:r>
    </w:p>
    <w:p w:rsidR="00B00DAC" w:rsidRDefault="00D64049" w:rsidP="00B00DAC">
      <w:pPr>
        <w:pStyle w:val="BodytextAgency"/>
      </w:pPr>
      <w:r w:rsidRPr="00C61E5A">
        <w:t xml:space="preserve">In case of prospective recruitment, it is critical that procedures are in place to ensure sequential inclusion of all eligible patients treated in the individual centres. Patients having been involved in clinical trials, often representing a subgroup with certain disease characteristics (e.g. genetic variants), could also be enrolled in a disease registry </w:t>
      </w:r>
      <w:r w:rsidR="006B7EEA">
        <w:t xml:space="preserve">study </w:t>
      </w:r>
      <w:r w:rsidRPr="00C61E5A">
        <w:t>later on.</w:t>
      </w:r>
      <w:r w:rsidR="00194B01" w:rsidRPr="0029175B">
        <w:t xml:space="preserve"> Particular attention should be given in </w:t>
      </w:r>
      <w:r w:rsidR="001F588F" w:rsidRPr="0029175B">
        <w:t xml:space="preserve">studies where procedures and </w:t>
      </w:r>
      <w:r w:rsidR="009B3E39" w:rsidRPr="0029175B">
        <w:t xml:space="preserve">data collection forms are added to the routine practice as time pressure and administrative workload may discourage investigators to recruit some of the </w:t>
      </w:r>
      <w:r w:rsidR="004B77F6">
        <w:t xml:space="preserve">eligible </w:t>
      </w:r>
      <w:r w:rsidR="009B3E39" w:rsidRPr="0029175B">
        <w:t>patients. Procedures should therefore be in place at the analysis phase to allow identification of eligible patients not recruited in the study and compare important socio-demographic</w:t>
      </w:r>
      <w:r w:rsidR="00CA6CB2">
        <w:t xml:space="preserve"> (e.g. older age)</w:t>
      </w:r>
      <w:r w:rsidR="009B3E39" w:rsidRPr="0029175B">
        <w:t xml:space="preserve"> and clinical characteristics</w:t>
      </w:r>
      <w:r w:rsidR="00456E75" w:rsidRPr="0029175B">
        <w:t xml:space="preserve"> (e.g. disease severity) between </w:t>
      </w:r>
      <w:r w:rsidR="00CB344A" w:rsidRPr="0029175B">
        <w:t xml:space="preserve">eligible </w:t>
      </w:r>
      <w:r w:rsidR="00456E75" w:rsidRPr="0029175B">
        <w:t xml:space="preserve">patients recruited and not recruited. </w:t>
      </w:r>
    </w:p>
    <w:p w:rsidR="00B00DAC" w:rsidRPr="0029175B" w:rsidRDefault="00D64049" w:rsidP="005E4BD1">
      <w:pPr>
        <w:pStyle w:val="Heading2Agency"/>
      </w:pPr>
      <w:bookmarkStart w:id="120" w:name="_Toc527730474"/>
      <w:bookmarkStart w:id="121" w:name="_Toc527799606"/>
      <w:bookmarkStart w:id="122" w:name="_Toc527799785"/>
      <w:bookmarkStart w:id="123" w:name="_Toc528934959"/>
      <w:bookmarkEnd w:id="120"/>
      <w:bookmarkEnd w:id="121"/>
      <w:bookmarkEnd w:id="122"/>
      <w:r w:rsidRPr="0029175B">
        <w:t>Data collection</w:t>
      </w:r>
      <w:bookmarkEnd w:id="123"/>
    </w:p>
    <w:p w:rsidR="00E4782D" w:rsidRPr="0029175B" w:rsidRDefault="00D64049" w:rsidP="00B00DAC">
      <w:pPr>
        <w:pStyle w:val="BodytextAgency"/>
      </w:pPr>
      <w:r w:rsidRPr="0029175B">
        <w:t xml:space="preserve">Registry studies may not need the totality of the information collected in the registry to answer the research question. Even if the informed consent allows use of the patients’ data for research purpose, it is the investigators’ responsibility </w:t>
      </w:r>
      <w:r w:rsidR="005312EB" w:rsidRPr="0029175B">
        <w:t xml:space="preserve">for ethical reasons </w:t>
      </w:r>
      <w:r w:rsidRPr="0029175B">
        <w:t xml:space="preserve">to </w:t>
      </w:r>
      <w:r w:rsidR="005312EB" w:rsidRPr="0029175B">
        <w:t>collect</w:t>
      </w:r>
      <w:r w:rsidRPr="006E7959">
        <w:rPr>
          <w:b/>
        </w:rPr>
        <w:t xml:space="preserve"> only</w:t>
      </w:r>
      <w:r w:rsidRPr="0029175B">
        <w:t xml:space="preserve"> the set of data that </w:t>
      </w:r>
      <w:r w:rsidR="00AC1F7A">
        <w:t>is</w:t>
      </w:r>
      <w:r w:rsidR="00AC1F7A" w:rsidRPr="0029175B">
        <w:t xml:space="preserve"> </w:t>
      </w:r>
      <w:r w:rsidRPr="0029175B">
        <w:t>strictly needed to provide valid results</w:t>
      </w:r>
      <w:r w:rsidR="003E4987" w:rsidRPr="0029175B">
        <w:t xml:space="preserve">. However, it is also their responsibility to collect </w:t>
      </w:r>
      <w:r w:rsidR="003E4987" w:rsidRPr="0029175B">
        <w:rPr>
          <w:b/>
        </w:rPr>
        <w:t>all</w:t>
      </w:r>
      <w:r w:rsidR="003E4987" w:rsidRPr="0029175B">
        <w:t xml:space="preserve"> the data needed for this purpose as it could be considered unethical </w:t>
      </w:r>
      <w:r w:rsidR="004B77F6">
        <w:t xml:space="preserve">not </w:t>
      </w:r>
      <w:r w:rsidR="003E4987" w:rsidRPr="0029175B">
        <w:t xml:space="preserve">to </w:t>
      </w:r>
      <w:r w:rsidR="004B77F6">
        <w:t xml:space="preserve">make best </w:t>
      </w:r>
      <w:r w:rsidR="003E4987" w:rsidRPr="0029175B">
        <w:t xml:space="preserve">use </w:t>
      </w:r>
      <w:r w:rsidR="004B77F6">
        <w:t xml:space="preserve">of </w:t>
      </w:r>
      <w:r w:rsidR="003E4987" w:rsidRPr="0029175B">
        <w:t xml:space="preserve">patients’ data </w:t>
      </w:r>
      <w:r w:rsidR="004B77F6">
        <w:t>if</w:t>
      </w:r>
      <w:r w:rsidR="003E4987" w:rsidRPr="0029175B">
        <w:t>, for example,</w:t>
      </w:r>
      <w:r w:rsidR="00F52C78" w:rsidRPr="0029175B">
        <w:t xml:space="preserve"> </w:t>
      </w:r>
      <w:r w:rsidR="003E4987" w:rsidRPr="0029175B">
        <w:lastRenderedPageBreak/>
        <w:t xml:space="preserve">data on important confounders were not </w:t>
      </w:r>
      <w:r w:rsidR="00F52C78" w:rsidRPr="0029175B">
        <w:t>extracted</w:t>
      </w:r>
      <w:r w:rsidR="004B77F6">
        <w:t xml:space="preserve"> and bias is introduced, compromising the validity of the reported/published results</w:t>
      </w:r>
      <w:r w:rsidR="00F52C78" w:rsidRPr="0029175B">
        <w:t xml:space="preserve">. </w:t>
      </w:r>
      <w:r w:rsidR="003E4987" w:rsidRPr="0029175B">
        <w:t xml:space="preserve"> </w:t>
      </w:r>
    </w:p>
    <w:p w:rsidR="00F52C78" w:rsidRPr="0029175B" w:rsidRDefault="00D64049" w:rsidP="00B00DAC">
      <w:pPr>
        <w:pStyle w:val="BodytextAgency"/>
      </w:pPr>
      <w:r w:rsidRPr="0029175B">
        <w:t xml:space="preserve">Data </w:t>
      </w:r>
      <w:r w:rsidR="00D06FE8" w:rsidRPr="0029175B">
        <w:t xml:space="preserve">to be collected or extracted include </w:t>
      </w:r>
      <w:r w:rsidR="00B471F9" w:rsidRPr="0029175B">
        <w:t xml:space="preserve">data </w:t>
      </w:r>
      <w:r w:rsidR="00D76F92" w:rsidRPr="0029175B">
        <w:t>required</w:t>
      </w:r>
      <w:r w:rsidR="00B471F9" w:rsidRPr="0029175B">
        <w:t xml:space="preserve"> for sensitivity analyses. Based on the assumptions used in the study design, investigators should plan in advance (and include in the protocol) sensitivity analyses that will test if any association that has been found holds true with different </w:t>
      </w:r>
      <w:r w:rsidR="001F6B0F" w:rsidRPr="0029175B">
        <w:t xml:space="preserve">assumptions about the </w:t>
      </w:r>
      <w:r w:rsidR="00B471F9" w:rsidRPr="0029175B">
        <w:t xml:space="preserve">value of study parameters. Sensitivity analyses may also be planned to test the impact of effect modifiers such as dose or duration of treatment or patients characteristics. </w:t>
      </w:r>
      <w:r w:rsidR="001774E3" w:rsidRPr="0029175B">
        <w:t xml:space="preserve">Sensitivity analyses must be planned at an early stage as retrospective collection of additional data </w:t>
      </w:r>
      <w:r w:rsidR="00B52DCB">
        <w:t xml:space="preserve">for post-hoc analyses </w:t>
      </w:r>
      <w:r w:rsidR="001774E3" w:rsidRPr="0029175B">
        <w:t xml:space="preserve">may be </w:t>
      </w:r>
      <w:r w:rsidR="00142E5C">
        <w:t xml:space="preserve">particularly </w:t>
      </w:r>
      <w:r w:rsidR="001774E3" w:rsidRPr="0029175B">
        <w:t>difficult in registries.</w:t>
      </w:r>
      <w:r w:rsidR="00B471F9" w:rsidRPr="0029175B">
        <w:t xml:space="preserve"> </w:t>
      </w:r>
    </w:p>
    <w:p w:rsidR="00B00DAC" w:rsidRPr="0029175B" w:rsidRDefault="00D64049" w:rsidP="00B00DAC">
      <w:pPr>
        <w:pStyle w:val="BodytextAgency"/>
      </w:pPr>
      <w:r w:rsidRPr="0029175B">
        <w:t>For certain studies</w:t>
      </w:r>
      <w:r w:rsidR="005D008A" w:rsidRPr="0029175B">
        <w:t xml:space="preserve">, modifications to the </w:t>
      </w:r>
      <w:r w:rsidRPr="0029175B">
        <w:t>existing data collection procedure</w:t>
      </w:r>
      <w:r w:rsidR="005D008A" w:rsidRPr="0029175B">
        <w:t xml:space="preserve"> may be implemented for additional data collection, e.g. to address a particular research question</w:t>
      </w:r>
      <w:r w:rsidR="007D71D6">
        <w:t xml:space="preserve"> or to address specific issues required in PASS/PAES which were not part of the core registry dataset</w:t>
      </w:r>
      <w:r w:rsidR="005D008A" w:rsidRPr="0029175B">
        <w:t>.</w:t>
      </w:r>
      <w:r w:rsidRPr="0029175B">
        <w:t xml:space="preserve"> For registries with participation of several individual centres, it may be preferable to add a data collection form or module rather than to modify the existing one. In </w:t>
      </w:r>
      <w:r w:rsidR="00D12AC7" w:rsidRPr="0029175B">
        <w:t xml:space="preserve">such </w:t>
      </w:r>
      <w:r w:rsidRPr="0029175B">
        <w:t>case</w:t>
      </w:r>
      <w:r w:rsidR="00D12AC7" w:rsidRPr="0029175B">
        <w:t>s</w:t>
      </w:r>
      <w:r w:rsidRPr="0029175B">
        <w:t xml:space="preserve">, </w:t>
      </w:r>
      <w:r w:rsidR="005D008A" w:rsidRPr="0029175B">
        <w:t>relevant modifications to the consent form may be needed for prospective data collection or patients may need to re-consent for retrospective data analysis.</w:t>
      </w:r>
    </w:p>
    <w:p w:rsidR="00E4276B" w:rsidRPr="0029175B" w:rsidRDefault="00D64049" w:rsidP="007B74DA">
      <w:pPr>
        <w:pStyle w:val="Default"/>
        <w:spacing w:after="140" w:line="280" w:lineRule="exact"/>
        <w:rPr>
          <w:sz w:val="18"/>
          <w:szCs w:val="18"/>
          <w:lang w:val="en-GB"/>
        </w:rPr>
      </w:pPr>
      <w:r w:rsidRPr="0029175B">
        <w:rPr>
          <w:sz w:val="18"/>
          <w:szCs w:val="18"/>
          <w:lang w:val="en-GB"/>
        </w:rPr>
        <w:t xml:space="preserve">The legal status of </w:t>
      </w:r>
      <w:r w:rsidR="000E728B">
        <w:rPr>
          <w:sz w:val="18"/>
          <w:szCs w:val="18"/>
          <w:lang w:val="en-GB"/>
        </w:rPr>
        <w:t>the</w:t>
      </w:r>
      <w:r w:rsidR="000E728B" w:rsidRPr="0029175B">
        <w:rPr>
          <w:sz w:val="18"/>
          <w:szCs w:val="18"/>
          <w:lang w:val="en-GB"/>
        </w:rPr>
        <w:t xml:space="preserve"> </w:t>
      </w:r>
      <w:r w:rsidRPr="0029175B">
        <w:rPr>
          <w:sz w:val="18"/>
          <w:szCs w:val="18"/>
          <w:lang w:val="en-GB"/>
        </w:rPr>
        <w:t xml:space="preserve">study </w:t>
      </w:r>
      <w:r w:rsidR="003F03B3" w:rsidRPr="0029175B">
        <w:rPr>
          <w:sz w:val="18"/>
          <w:szCs w:val="18"/>
          <w:lang w:val="en-GB"/>
        </w:rPr>
        <w:t xml:space="preserve">should also be considered as </w:t>
      </w:r>
      <w:r w:rsidR="000E728B">
        <w:rPr>
          <w:sz w:val="18"/>
          <w:szCs w:val="18"/>
          <w:lang w:val="en-GB"/>
        </w:rPr>
        <w:t xml:space="preserve">additional data collection </w:t>
      </w:r>
      <w:r w:rsidR="003F03B3" w:rsidRPr="0029175B">
        <w:rPr>
          <w:sz w:val="18"/>
          <w:szCs w:val="18"/>
          <w:lang w:val="en-GB"/>
        </w:rPr>
        <w:t xml:space="preserve">may </w:t>
      </w:r>
      <w:r w:rsidR="001F6B0F" w:rsidRPr="0029175B">
        <w:rPr>
          <w:sz w:val="18"/>
          <w:szCs w:val="18"/>
          <w:lang w:val="en-GB"/>
        </w:rPr>
        <w:t xml:space="preserve">possibly </w:t>
      </w:r>
      <w:r w:rsidR="003F03B3" w:rsidRPr="0029175B">
        <w:rPr>
          <w:sz w:val="18"/>
          <w:szCs w:val="18"/>
          <w:lang w:val="en-GB"/>
        </w:rPr>
        <w:t>lead to the study being considered interventional. According to the legislation</w:t>
      </w:r>
      <w:r w:rsidR="001B251B" w:rsidRPr="00507CD9">
        <w:rPr>
          <w:sz w:val="18"/>
          <w:szCs w:val="18"/>
          <w:lang w:val="en-GB"/>
        </w:rPr>
        <w:t xml:space="preserve"> </w:t>
      </w:r>
      <w:r w:rsidR="001B251B" w:rsidRPr="00507CD9">
        <w:rPr>
          <w:sz w:val="18"/>
          <w:szCs w:val="18"/>
          <w:lang w:val="en-GB"/>
        </w:rPr>
        <w:fldChar w:fldCharType="begin"/>
      </w:r>
      <w:r w:rsidR="005E2E45">
        <w:rPr>
          <w:sz w:val="18"/>
          <w:szCs w:val="18"/>
          <w:lang w:val="en-GB"/>
        </w:rPr>
        <w:instrText xml:space="preserve"> ADDIN ZOTERO_ITEM CSL_CITATION {"citationID":"a25vm0d9kdl","properties":{"formattedCitation":"(37)","plainCitation":"(37)"},"citationItems":[{"id":2295,"uris":["http://zotero.org/users/local/tAKp4fcl/items/2JJ863PL"],"uri":["http://zotero.org/users/local/tAKp4fcl/items/2JJ863PL"],"itemData":{"id":2295,"type":"article","title":"The Rules Governing Medicinal Products in the European Union. Volume 10 - Guidance documents applying to clinical trials. Questions &amp; Answers. Version 11.0 (May 2013). Draft – Submitted for discussion to the ad-hoc group for the development of implementing guidelines for the \"Clinical  Trials Directive\" 2001/20/EC","author":[{"literal":"European Commission"}]}}],"schema":"https://github.com/citation-style-language/schema/raw/master/csl-citation.json"} </w:instrText>
      </w:r>
      <w:r w:rsidR="001B251B" w:rsidRPr="00507CD9">
        <w:rPr>
          <w:sz w:val="18"/>
          <w:szCs w:val="18"/>
          <w:lang w:val="en-GB"/>
        </w:rPr>
        <w:fldChar w:fldCharType="separate"/>
      </w:r>
      <w:r w:rsidR="005E2E45" w:rsidRPr="005E2E45">
        <w:rPr>
          <w:sz w:val="18"/>
        </w:rPr>
        <w:t>(37)</w:t>
      </w:r>
      <w:r w:rsidR="001B251B" w:rsidRPr="00507CD9">
        <w:rPr>
          <w:sz w:val="18"/>
          <w:szCs w:val="18"/>
          <w:lang w:val="en-GB"/>
        </w:rPr>
        <w:fldChar w:fldCharType="end"/>
      </w:r>
      <w:r w:rsidR="003F03B3" w:rsidRPr="0029175B">
        <w:rPr>
          <w:sz w:val="18"/>
          <w:szCs w:val="18"/>
          <w:lang w:val="en-GB"/>
        </w:rPr>
        <w:t xml:space="preserve">, </w:t>
      </w:r>
      <w:r w:rsidR="007B74DA" w:rsidRPr="0029175B">
        <w:rPr>
          <w:sz w:val="18"/>
          <w:szCs w:val="18"/>
          <w:lang w:val="en-GB"/>
        </w:rPr>
        <w:t>n</w:t>
      </w:r>
      <w:r w:rsidRPr="0029175B">
        <w:rPr>
          <w:sz w:val="18"/>
          <w:szCs w:val="18"/>
          <w:lang w:val="en-GB"/>
        </w:rPr>
        <w:t xml:space="preserve">on-interventional studies </w:t>
      </w:r>
      <w:r w:rsidR="001F6B0F" w:rsidRPr="0029175B">
        <w:rPr>
          <w:sz w:val="18"/>
          <w:szCs w:val="18"/>
          <w:lang w:val="en-GB"/>
        </w:rPr>
        <w:t xml:space="preserve">may </w:t>
      </w:r>
      <w:r w:rsidRPr="0029175B">
        <w:rPr>
          <w:sz w:val="18"/>
          <w:szCs w:val="18"/>
          <w:lang w:val="en-GB"/>
        </w:rPr>
        <w:t xml:space="preserve">include those involving primary data collection, provided that </w:t>
      </w:r>
      <w:r w:rsidR="0060034D" w:rsidRPr="0029175B">
        <w:rPr>
          <w:sz w:val="18"/>
          <w:szCs w:val="18"/>
          <w:lang w:val="en-GB"/>
        </w:rPr>
        <w:t xml:space="preserve">1) </w:t>
      </w:r>
      <w:r w:rsidR="007B74DA" w:rsidRPr="0029175B">
        <w:rPr>
          <w:sz w:val="18"/>
          <w:szCs w:val="18"/>
          <w:lang w:val="en-GB"/>
        </w:rPr>
        <w:t xml:space="preserve">the medicinal product is prescribed in the usual manner in accordance with the terms of the marketing authorisation, </w:t>
      </w:r>
      <w:r w:rsidR="0060034D" w:rsidRPr="0029175B">
        <w:rPr>
          <w:sz w:val="18"/>
          <w:szCs w:val="18"/>
          <w:lang w:val="en-GB"/>
        </w:rPr>
        <w:t xml:space="preserve">2) </w:t>
      </w:r>
      <w:r w:rsidR="007B74DA" w:rsidRPr="0029175B">
        <w:rPr>
          <w:sz w:val="18"/>
          <w:szCs w:val="18"/>
          <w:lang w:val="en-GB"/>
        </w:rPr>
        <w:t>the assignment of the patient to a particular therapeutic strategy is not decided in advance by a trial protocol but falls within current practice</w:t>
      </w:r>
      <w:r w:rsidR="0060034D" w:rsidRPr="0029175B">
        <w:rPr>
          <w:sz w:val="18"/>
          <w:szCs w:val="18"/>
          <w:lang w:val="en-GB"/>
        </w:rPr>
        <w:t>,</w:t>
      </w:r>
      <w:r w:rsidR="007B74DA" w:rsidRPr="0029175B">
        <w:rPr>
          <w:sz w:val="18"/>
          <w:szCs w:val="18"/>
          <w:lang w:val="en-GB"/>
        </w:rPr>
        <w:t xml:space="preserve"> and the prescription of the medicine is clearly separated from the decision to i</w:t>
      </w:r>
      <w:r w:rsidR="0060034D" w:rsidRPr="0029175B">
        <w:rPr>
          <w:sz w:val="18"/>
          <w:szCs w:val="18"/>
          <w:lang w:val="en-GB"/>
        </w:rPr>
        <w:t>nclude the patient in the study,</w:t>
      </w:r>
      <w:r w:rsidR="007B74DA" w:rsidRPr="0029175B">
        <w:rPr>
          <w:sz w:val="18"/>
          <w:szCs w:val="18"/>
          <w:lang w:val="en-GB"/>
        </w:rPr>
        <w:t xml:space="preserve"> and</w:t>
      </w:r>
      <w:r w:rsidR="0060034D" w:rsidRPr="0029175B">
        <w:rPr>
          <w:sz w:val="18"/>
          <w:szCs w:val="18"/>
          <w:lang w:val="en-GB"/>
        </w:rPr>
        <w:t xml:space="preserve"> 3)</w:t>
      </w:r>
      <w:r w:rsidR="007B74DA" w:rsidRPr="0029175B">
        <w:rPr>
          <w:sz w:val="18"/>
          <w:szCs w:val="18"/>
          <w:lang w:val="en-GB"/>
        </w:rPr>
        <w:t xml:space="preserve"> no additional diagnostic or monitoring procedures are applied to the patients and epidemiological methods are used for the analysis of collected data. There is a possibility that the third condition would not be met in case of additional data collection, </w:t>
      </w:r>
      <w:r w:rsidR="0060034D" w:rsidRPr="0029175B">
        <w:rPr>
          <w:sz w:val="18"/>
          <w:szCs w:val="18"/>
          <w:lang w:val="en-GB"/>
        </w:rPr>
        <w:t>even if</w:t>
      </w:r>
      <w:r w:rsidR="007B74DA" w:rsidRPr="0029175B">
        <w:rPr>
          <w:sz w:val="18"/>
          <w:szCs w:val="18"/>
          <w:lang w:val="en-GB"/>
        </w:rPr>
        <w:t xml:space="preserve"> </w:t>
      </w:r>
      <w:r w:rsidRPr="0029175B">
        <w:rPr>
          <w:sz w:val="18"/>
          <w:szCs w:val="18"/>
          <w:lang w:val="en-GB"/>
        </w:rPr>
        <w:t>interviews, questionnaires, blood samples and patient follow-up may be part of normal clinical practice.</w:t>
      </w:r>
      <w:r w:rsidR="007B74DA" w:rsidRPr="0029175B">
        <w:rPr>
          <w:sz w:val="18"/>
          <w:szCs w:val="18"/>
          <w:lang w:val="en-GB"/>
        </w:rPr>
        <w:t xml:space="preserve"> </w:t>
      </w:r>
    </w:p>
    <w:p w:rsidR="00CD2663" w:rsidRPr="0029175B" w:rsidRDefault="00D64049" w:rsidP="007B74DA">
      <w:pPr>
        <w:pStyle w:val="Default"/>
        <w:spacing w:after="140" w:line="280" w:lineRule="exact"/>
        <w:rPr>
          <w:sz w:val="18"/>
          <w:szCs w:val="18"/>
          <w:lang w:val="en-GB"/>
        </w:rPr>
      </w:pPr>
      <w:r w:rsidRPr="0029175B">
        <w:rPr>
          <w:sz w:val="18"/>
          <w:szCs w:val="18"/>
          <w:lang w:val="en-GB"/>
        </w:rPr>
        <w:t xml:space="preserve">Additional data collection will need to be detailed in the study protocol submitted to the relevant ethics committee(s). </w:t>
      </w:r>
      <w:r w:rsidR="003C4DE3" w:rsidRPr="0029175B">
        <w:rPr>
          <w:sz w:val="18"/>
          <w:szCs w:val="18"/>
          <w:lang w:val="en-GB"/>
        </w:rPr>
        <w:t>The fact that a registry study is considered interventional has no influence on the non-interventional nature of the registry itself.</w:t>
      </w:r>
    </w:p>
    <w:p w:rsidR="00E4782D" w:rsidRPr="0029175B" w:rsidRDefault="00D64049" w:rsidP="00B00DAC">
      <w:pPr>
        <w:pStyle w:val="BodytextAgency"/>
      </w:pPr>
      <w:r w:rsidRPr="0029175B">
        <w:t>Data collection on suspected adverse drug reactions are discussed in chapter</w:t>
      </w:r>
      <w:r w:rsidR="00030AEE" w:rsidRPr="0029175B">
        <w:t xml:space="preserve"> </w:t>
      </w:r>
      <w:r w:rsidR="00E4276B" w:rsidRPr="0029175B">
        <w:t>6</w:t>
      </w:r>
      <w:r w:rsidR="00030AEE" w:rsidRPr="0029175B">
        <w:t>.8</w:t>
      </w:r>
      <w:r w:rsidRPr="0029175B">
        <w:t>.</w:t>
      </w:r>
    </w:p>
    <w:p w:rsidR="00B00DAC" w:rsidRPr="0029175B" w:rsidRDefault="00D64049" w:rsidP="005E4BD1">
      <w:pPr>
        <w:pStyle w:val="Heading2Agency"/>
      </w:pPr>
      <w:bookmarkStart w:id="124" w:name="_Toc528934960"/>
      <w:r w:rsidRPr="0029175B">
        <w:t>Data quality</w:t>
      </w:r>
      <w:bookmarkEnd w:id="124"/>
    </w:p>
    <w:p w:rsidR="00B00DAC" w:rsidRPr="0029175B" w:rsidRDefault="00D64049" w:rsidP="00B00DAC">
      <w:pPr>
        <w:pStyle w:val="BodytextAgency"/>
      </w:pPr>
      <w:r w:rsidRPr="0029175B">
        <w:t xml:space="preserve">The need for additional measure for data quality control in a registry study depends on the measures applied routinely in the registry. </w:t>
      </w:r>
      <w:r w:rsidR="005D008A" w:rsidRPr="0029175B">
        <w:t xml:space="preserve">In order to ensure acceptable data quality for individual </w:t>
      </w:r>
      <w:r w:rsidR="00E06FDD" w:rsidRPr="0029175B">
        <w:t xml:space="preserve">registry </w:t>
      </w:r>
      <w:r w:rsidR="005D008A" w:rsidRPr="0029175B">
        <w:t>studies conducted for regulatory purposes, source</w:t>
      </w:r>
      <w:r w:rsidR="00304BC1">
        <w:t xml:space="preserve"> (registry)</w:t>
      </w:r>
      <w:r w:rsidR="005D008A" w:rsidRPr="0029175B">
        <w:t xml:space="preserve"> data verification and periodic auditing on a reasonable amount of data </w:t>
      </w:r>
      <w:r w:rsidR="00D76F92" w:rsidRPr="0029175B">
        <w:t>may need to</w:t>
      </w:r>
      <w:r w:rsidR="005D008A" w:rsidRPr="0029175B">
        <w:t xml:space="preserve"> be conducted on a risk analysis-based approach and following a strategy dependent on the scope of the study. As a general rule, source </w:t>
      </w:r>
      <w:r w:rsidR="00304BC1">
        <w:t xml:space="preserve">data </w:t>
      </w:r>
      <w:r w:rsidR="005D008A" w:rsidRPr="0029175B">
        <w:t xml:space="preserve">verification for a minimum of 10% of </w:t>
      </w:r>
      <w:r w:rsidR="00A3591A">
        <w:t xml:space="preserve">randomly selected </w:t>
      </w:r>
      <w:r w:rsidR="005D008A" w:rsidRPr="0029175B">
        <w:t>patients</w:t>
      </w:r>
      <w:r w:rsidR="00A3591A">
        <w:t xml:space="preserve"> registered</w:t>
      </w:r>
      <w:r w:rsidR="005D008A" w:rsidRPr="0029175B">
        <w:t xml:space="preserve"> in individual study centres would be </w:t>
      </w:r>
      <w:r w:rsidR="00ED59B1" w:rsidRPr="0029175B">
        <w:t>considered adequate. T</w:t>
      </w:r>
      <w:r w:rsidR="005D008A" w:rsidRPr="0029175B">
        <w:t xml:space="preserve">he level of data verification will have to be agreed upfront between </w:t>
      </w:r>
      <w:r w:rsidRPr="0029175B">
        <w:t xml:space="preserve">the registry </w:t>
      </w:r>
      <w:r w:rsidR="004923DD">
        <w:t>coordinator</w:t>
      </w:r>
      <w:r w:rsidR="004923DD" w:rsidRPr="0029175B">
        <w:t xml:space="preserve">s </w:t>
      </w:r>
      <w:r w:rsidRPr="0029175B">
        <w:t xml:space="preserve">and the MAHs </w:t>
      </w:r>
      <w:r w:rsidR="005D008A" w:rsidRPr="0029175B">
        <w:t xml:space="preserve">in the context of the study performed. Appropriate measures in case relevant findings are observed should be specified. Quality of short and long term data should be assured. Agreements on relevant logistical aspects should be made between </w:t>
      </w:r>
      <w:r w:rsidR="00D76F92" w:rsidRPr="0029175B">
        <w:t>the registry and</w:t>
      </w:r>
      <w:r w:rsidR="005D008A" w:rsidRPr="0029175B">
        <w:t xml:space="preserve"> MAHs in advance of study start.</w:t>
      </w:r>
    </w:p>
    <w:p w:rsidR="00B00DAC" w:rsidRPr="0029175B" w:rsidRDefault="00D64049" w:rsidP="005E4BD1">
      <w:pPr>
        <w:pStyle w:val="Heading2Agency"/>
      </w:pPr>
      <w:bookmarkStart w:id="125" w:name="_Toc528934961"/>
      <w:r w:rsidRPr="0029175B">
        <w:lastRenderedPageBreak/>
        <w:t>Data analysis</w:t>
      </w:r>
      <w:bookmarkEnd w:id="125"/>
    </w:p>
    <w:p w:rsidR="00B00DAC" w:rsidRPr="0029175B" w:rsidRDefault="00D64049" w:rsidP="00B00DAC">
      <w:pPr>
        <w:pStyle w:val="BodytextAgency"/>
      </w:pPr>
      <w:r w:rsidRPr="0029175B">
        <w:t xml:space="preserve">Data analysis </w:t>
      </w:r>
      <w:r w:rsidR="003C4DE3" w:rsidRPr="0029175B">
        <w:t xml:space="preserve">for a registry study performed as a regulatory requirement </w:t>
      </w:r>
      <w:r w:rsidRPr="0029175B">
        <w:t xml:space="preserve">should preferably be performed by the registry </w:t>
      </w:r>
      <w:r w:rsidR="00C10969" w:rsidRPr="0029175B">
        <w:t>coordinator</w:t>
      </w:r>
      <w:r w:rsidRPr="0029175B">
        <w:t xml:space="preserve"> or by a third-party (e.g. academic centre</w:t>
      </w:r>
      <w:r w:rsidR="00A701C3" w:rsidRPr="0029175B">
        <w:t xml:space="preserve"> or</w:t>
      </w:r>
      <w:r w:rsidRPr="0029175B">
        <w:t xml:space="preserve"> contract research organisation) rather than by </w:t>
      </w:r>
      <w:r w:rsidR="001D106D" w:rsidRPr="0029175B">
        <w:t>MA</w:t>
      </w:r>
      <w:r w:rsidR="001D106D">
        <w:t>A</w:t>
      </w:r>
      <w:r w:rsidR="001D106D" w:rsidRPr="0029175B">
        <w:t>s</w:t>
      </w:r>
      <w:r w:rsidRPr="0029175B">
        <w:t>/</w:t>
      </w:r>
      <w:r w:rsidR="001D106D" w:rsidRPr="0029175B">
        <w:t>MA</w:t>
      </w:r>
      <w:r w:rsidR="001D106D">
        <w:t>H</w:t>
      </w:r>
      <w:r w:rsidR="001D106D" w:rsidRPr="0029175B">
        <w:t>s</w:t>
      </w:r>
      <w:r w:rsidRPr="0029175B">
        <w:t xml:space="preserve">. If data analysis is conducted by the registry </w:t>
      </w:r>
      <w:r w:rsidR="004923DD">
        <w:t>coordinator</w:t>
      </w:r>
      <w:r w:rsidR="004923DD" w:rsidRPr="0029175B">
        <w:t xml:space="preserve"> </w:t>
      </w:r>
      <w:r w:rsidRPr="0029175B">
        <w:t xml:space="preserve">or a third party, results of product-specific data analysis should be shared with regulators and the concerned </w:t>
      </w:r>
      <w:r w:rsidR="001D106D" w:rsidRPr="0029175B">
        <w:t>MA</w:t>
      </w:r>
      <w:r w:rsidR="001D106D">
        <w:t>A</w:t>
      </w:r>
      <w:r w:rsidR="001D106D" w:rsidRPr="0029175B">
        <w:t>s</w:t>
      </w:r>
      <w:r w:rsidRPr="0029175B">
        <w:t>/</w:t>
      </w:r>
      <w:r w:rsidR="001D106D" w:rsidRPr="0029175B">
        <w:t>MA</w:t>
      </w:r>
      <w:r w:rsidR="001D106D">
        <w:t>H</w:t>
      </w:r>
      <w:r w:rsidR="001D106D" w:rsidRPr="0029175B">
        <w:t>s</w:t>
      </w:r>
      <w:r w:rsidR="00B135BD" w:rsidRPr="0029175B">
        <w:t>. The process for this communication should be specified in the study protocol.</w:t>
      </w:r>
    </w:p>
    <w:p w:rsidR="00216757" w:rsidRPr="006E7959" w:rsidRDefault="00D64049" w:rsidP="006E7959">
      <w:pPr>
        <w:pStyle w:val="Kommentartext"/>
        <w:spacing w:after="140" w:line="280" w:lineRule="atLeast"/>
        <w:rPr>
          <w:rFonts w:ascii="Arial" w:eastAsia="Times New Roman" w:hAnsi="Arial" w:cs="Arial"/>
          <w:sz w:val="18"/>
          <w:szCs w:val="18"/>
        </w:rPr>
      </w:pPr>
      <w:r w:rsidRPr="006E7959">
        <w:rPr>
          <w:sz w:val="18"/>
          <w:szCs w:val="18"/>
        </w:rPr>
        <w:t xml:space="preserve">There is no single statistical method </w:t>
      </w:r>
      <w:r w:rsidR="00C10969" w:rsidRPr="006E7959">
        <w:rPr>
          <w:sz w:val="18"/>
          <w:szCs w:val="18"/>
        </w:rPr>
        <w:t>applicable to</w:t>
      </w:r>
      <w:r w:rsidRPr="006E7959">
        <w:rPr>
          <w:sz w:val="18"/>
          <w:szCs w:val="18"/>
        </w:rPr>
        <w:t xml:space="preserve"> every study and the most appropriate statistical procedure would need to be selected/tailored on a case-by-case basis to specifically address the scientific question of interest. Of particular importance is the type of outcome to be analysed, i.e. descriptive analysis of drug utilisation patterns, </w:t>
      </w:r>
      <w:r w:rsidR="00774CBE" w:rsidRPr="006E7959">
        <w:rPr>
          <w:sz w:val="18"/>
          <w:szCs w:val="18"/>
        </w:rPr>
        <w:t>comparison of safety between different treatments or effectiveness of a new therapeutic strategy.</w:t>
      </w:r>
      <w:r w:rsidRPr="006E7959">
        <w:rPr>
          <w:sz w:val="18"/>
          <w:szCs w:val="18"/>
        </w:rPr>
        <w:t xml:space="preserve"> P</w:t>
      </w:r>
      <w:r w:rsidRPr="006E7959">
        <w:rPr>
          <w:rFonts w:eastAsia="Times New Roman" w:cs="Arial"/>
          <w:sz w:val="18"/>
          <w:szCs w:val="18"/>
        </w:rPr>
        <w:t>re-specification of the analytical approach before data are generated on any investigational or comparator treatment is critical, so that choices on analytical approach are not determined by the data generated</w:t>
      </w:r>
      <w:r w:rsidR="006B7CB4">
        <w:rPr>
          <w:rFonts w:eastAsia="Times New Roman" w:cs="Arial"/>
          <w:sz w:val="18"/>
          <w:szCs w:val="18"/>
        </w:rPr>
        <w:t xml:space="preserve"> </w:t>
      </w:r>
      <w:r w:rsidR="006B7CB4">
        <w:rPr>
          <w:rFonts w:eastAsia="Times New Roman" w:cs="Arial"/>
          <w:sz w:val="18"/>
          <w:szCs w:val="18"/>
        </w:rPr>
        <w:fldChar w:fldCharType="begin"/>
      </w:r>
      <w:r w:rsidR="005E2E45">
        <w:rPr>
          <w:rFonts w:eastAsia="Times New Roman" w:cs="Arial"/>
          <w:sz w:val="18"/>
          <w:szCs w:val="18"/>
        </w:rPr>
        <w:instrText xml:space="preserve"> ADDIN ZOTERO_ITEM CSL_CITATION {"citationID":"a1s7162jhm9","properties":{"formattedCitation":"(22)","plainCitation":"(22)"},"citationItems":[{"id":2250,"uris":["http://zotero.org/users/local/tAKp4fcl/items/PD8M72AS"],"uri":["http://zotero.org/users/local/tAKp4fcl/items/PD8M72AS"],"itemData":{"id":2250,"type":"article","title":"Scientific guidance on post-authorisation efficacy studies. EMA/PDCO/CAT/CMDh/PRAC/CHMP/261500/2015","URL":"http://www.ema.europa.eu/docs/en_GB/document_library/Scientific_guideline/2016/12/WC500219040.pdf","author":[{"literal":"European Medicines Agency (EMA)"}],"issued":{"date-parts":[["2016",10,12]]}}}],"schema":"https://github.com/citation-style-language/schema/raw/master/csl-citation.json"} </w:instrText>
      </w:r>
      <w:r w:rsidR="006B7CB4">
        <w:rPr>
          <w:rFonts w:eastAsia="Times New Roman" w:cs="Arial"/>
          <w:sz w:val="18"/>
          <w:szCs w:val="18"/>
        </w:rPr>
        <w:fldChar w:fldCharType="separate"/>
      </w:r>
      <w:r w:rsidR="005E2E45" w:rsidRPr="005E2E45">
        <w:rPr>
          <w:sz w:val="18"/>
        </w:rPr>
        <w:t>(22)</w:t>
      </w:r>
      <w:r w:rsidR="006B7CB4">
        <w:rPr>
          <w:rFonts w:eastAsia="Times New Roman" w:cs="Arial"/>
          <w:sz w:val="18"/>
          <w:szCs w:val="18"/>
        </w:rPr>
        <w:fldChar w:fldCharType="end"/>
      </w:r>
      <w:r w:rsidRPr="006E7959">
        <w:rPr>
          <w:rFonts w:eastAsia="Times New Roman" w:cs="Arial"/>
          <w:sz w:val="18"/>
          <w:szCs w:val="18"/>
        </w:rPr>
        <w:t xml:space="preserve">. </w:t>
      </w:r>
    </w:p>
    <w:p w:rsidR="004C61EE" w:rsidRPr="00A3591A" w:rsidRDefault="00D64049" w:rsidP="00B00DAC">
      <w:pPr>
        <w:pStyle w:val="BodytextAgency"/>
      </w:pPr>
      <w:r w:rsidRPr="00A3591A">
        <w:t xml:space="preserve">Analysis of </w:t>
      </w:r>
      <w:r w:rsidR="00216757">
        <w:t xml:space="preserve">studies based on </w:t>
      </w:r>
      <w:r w:rsidRPr="00A3591A">
        <w:t>registry data should take into account that they are selected observational cohorts and hence knowledge of techniques developed to describe such data is essential. In depth discussion can be found in many texts</w:t>
      </w:r>
      <w:r w:rsidR="00E936DF">
        <w:t xml:space="preserve"> on epidemiological methods</w:t>
      </w:r>
      <w:r w:rsidRPr="00A3591A">
        <w:t xml:space="preserve"> but some common problems </w:t>
      </w:r>
      <w:r w:rsidR="00DF6C07">
        <w:t>may</w:t>
      </w:r>
      <w:r w:rsidRPr="00A3591A">
        <w:t xml:space="preserve"> arise</w:t>
      </w:r>
      <w:r w:rsidR="00DF6C07">
        <w:t>:</w:t>
      </w:r>
    </w:p>
    <w:p w:rsidR="006401FF" w:rsidRPr="00A3591A" w:rsidRDefault="00D64049" w:rsidP="00AB542F">
      <w:pPr>
        <w:pStyle w:val="BodytextAgency"/>
        <w:numPr>
          <w:ilvl w:val="0"/>
          <w:numId w:val="31"/>
        </w:numPr>
      </w:pPr>
      <w:r w:rsidRPr="00A3591A">
        <w:t xml:space="preserve">Measurement of the incidence of events of interest should clearly distinguish between event rates (number of events in a specified group in a specified period) and </w:t>
      </w:r>
      <w:r w:rsidR="00A3591A" w:rsidRPr="00A3591A">
        <w:t>inciden</w:t>
      </w:r>
      <w:r w:rsidR="00A3591A">
        <w:t>ce</w:t>
      </w:r>
      <w:r w:rsidR="00A3591A" w:rsidRPr="00A3591A">
        <w:t xml:space="preserve"> </w:t>
      </w:r>
      <w:r w:rsidRPr="00A3591A">
        <w:t>rates (number of individuals presenting at least one event in a specified group in a specified period).</w:t>
      </w:r>
      <w:r w:rsidR="00171FAD" w:rsidRPr="00A3591A">
        <w:t xml:space="preserve"> The distinction is important where an individual may present several events. Event and incidence rates should be stratified by sex, age</w:t>
      </w:r>
      <w:r w:rsidR="00EB1FA7">
        <w:t xml:space="preserve"> categories</w:t>
      </w:r>
      <w:r w:rsidR="00171FAD" w:rsidRPr="00A3591A">
        <w:t xml:space="preserve">, registry (in multiple registry studies), treatment </w:t>
      </w:r>
      <w:r w:rsidR="00EB1FA7">
        <w:t>categories</w:t>
      </w:r>
      <w:r w:rsidR="00EB1FA7" w:rsidRPr="00A3591A">
        <w:t xml:space="preserve"> </w:t>
      </w:r>
      <w:r w:rsidR="00171FAD" w:rsidRPr="00A3591A">
        <w:t xml:space="preserve">and other relevant variables. Comparisons between </w:t>
      </w:r>
      <w:r w:rsidR="00EB1FA7">
        <w:t>categorie</w:t>
      </w:r>
      <w:r w:rsidR="00EB1FA7" w:rsidRPr="00A3591A">
        <w:t xml:space="preserve">s </w:t>
      </w:r>
      <w:r w:rsidR="00171FAD" w:rsidRPr="00A3591A">
        <w:t>should take observation periods into account and use parameters such hazard ratios</w:t>
      </w:r>
      <w:r w:rsidR="00A437D1" w:rsidRPr="00A3591A">
        <w:t xml:space="preserve"> (HR)</w:t>
      </w:r>
      <w:r w:rsidR="00171FAD" w:rsidRPr="00A3591A">
        <w:t xml:space="preserve"> or incidence rate ratios</w:t>
      </w:r>
      <w:r w:rsidR="00A437D1" w:rsidRPr="00A3591A">
        <w:t xml:space="preserve"> (IRR)</w:t>
      </w:r>
      <w:r w:rsidR="00EB1FA7">
        <w:t xml:space="preserve"> </w:t>
      </w:r>
      <w:r w:rsidR="00A437D1" w:rsidRPr="00A3591A">
        <w:t>adjusted for potential confounders.</w:t>
      </w:r>
    </w:p>
    <w:p w:rsidR="0078105B" w:rsidRPr="00507CD9" w:rsidRDefault="00D64049" w:rsidP="00BD0687">
      <w:pPr>
        <w:pStyle w:val="Listenabsatz"/>
        <w:numPr>
          <w:ilvl w:val="0"/>
          <w:numId w:val="31"/>
        </w:numPr>
        <w:autoSpaceDE w:val="0"/>
        <w:autoSpaceDN w:val="0"/>
        <w:adjustRightInd w:val="0"/>
        <w:spacing w:after="140" w:line="280" w:lineRule="exact"/>
        <w:rPr>
          <w:rFonts w:ascii="Verdana" w:hAnsi="Verdana"/>
          <w:color w:val="000000"/>
          <w:sz w:val="18"/>
          <w:szCs w:val="18"/>
        </w:rPr>
      </w:pPr>
      <w:r w:rsidRPr="00507CD9">
        <w:rPr>
          <w:rFonts w:ascii="Verdana" w:hAnsi="Verdana" w:cs="Verdana"/>
          <w:color w:val="000000"/>
          <w:sz w:val="18"/>
          <w:szCs w:val="18"/>
        </w:rPr>
        <w:t xml:space="preserve">In the absence of </w:t>
      </w:r>
      <w:r w:rsidR="00A3591A" w:rsidRPr="00507CD9">
        <w:rPr>
          <w:rFonts w:ascii="Verdana" w:hAnsi="Verdana" w:cs="Verdana"/>
          <w:color w:val="000000"/>
          <w:sz w:val="18"/>
          <w:szCs w:val="18"/>
        </w:rPr>
        <w:t>randomi</w:t>
      </w:r>
      <w:r w:rsidR="00A3591A">
        <w:rPr>
          <w:rFonts w:ascii="Verdana" w:hAnsi="Verdana" w:cs="Verdana"/>
          <w:color w:val="000000"/>
          <w:sz w:val="18"/>
          <w:szCs w:val="18"/>
        </w:rPr>
        <w:t>s</w:t>
      </w:r>
      <w:r w:rsidR="00A3591A" w:rsidRPr="00507CD9">
        <w:rPr>
          <w:rFonts w:ascii="Verdana" w:hAnsi="Verdana" w:cs="Verdana"/>
          <w:color w:val="000000"/>
          <w:sz w:val="18"/>
          <w:szCs w:val="18"/>
        </w:rPr>
        <w:t xml:space="preserve">ed </w:t>
      </w:r>
      <w:r w:rsidRPr="00507CD9">
        <w:rPr>
          <w:rFonts w:ascii="Verdana" w:hAnsi="Verdana" w:cs="Verdana"/>
          <w:color w:val="000000"/>
          <w:sz w:val="18"/>
          <w:szCs w:val="18"/>
        </w:rPr>
        <w:t>decisions concerning treatment allocation it must be recognized that patient groups given different treatments are likely to differ systematically. Hence differences in clinical outcomes may not be attributable to treatment. One feature that is particularly likely to differ is indication, i.e.</w:t>
      </w:r>
      <w:r w:rsidR="00F059E9" w:rsidRPr="00507CD9">
        <w:rPr>
          <w:rFonts w:ascii="Verdana" w:hAnsi="Verdana" w:cs="Verdana"/>
          <w:color w:val="000000"/>
          <w:sz w:val="18"/>
          <w:szCs w:val="18"/>
        </w:rPr>
        <w:t xml:space="preserve"> the reasons why a patient was prescribed a particular treatment. Such decision may be influenced by a larg</w:t>
      </w:r>
      <w:r w:rsidR="001934D0" w:rsidRPr="00507CD9">
        <w:rPr>
          <w:rFonts w:ascii="Verdana" w:hAnsi="Verdana" w:cs="Verdana"/>
          <w:color w:val="000000"/>
          <w:sz w:val="18"/>
          <w:szCs w:val="18"/>
        </w:rPr>
        <w:t>e</w:t>
      </w:r>
      <w:r w:rsidR="00F059E9" w:rsidRPr="00507CD9">
        <w:rPr>
          <w:rFonts w:ascii="Verdana" w:hAnsi="Verdana" w:cs="Verdana"/>
          <w:color w:val="000000"/>
          <w:sz w:val="18"/>
          <w:szCs w:val="18"/>
        </w:rPr>
        <w:t xml:space="preserve"> number of different factors that need to be taken into</w:t>
      </w:r>
      <w:r w:rsidR="001934D0" w:rsidRPr="00507CD9">
        <w:rPr>
          <w:rFonts w:ascii="Verdana" w:hAnsi="Verdana" w:cs="Verdana"/>
          <w:color w:val="000000"/>
          <w:sz w:val="18"/>
          <w:szCs w:val="18"/>
        </w:rPr>
        <w:t xml:space="preserve"> account in the analyses as these factors may also be associated with the risk of </w:t>
      </w:r>
      <w:r w:rsidR="00A701C3" w:rsidRPr="00507CD9">
        <w:rPr>
          <w:rFonts w:ascii="Verdana" w:hAnsi="Verdana" w:cs="Verdana"/>
          <w:color w:val="000000"/>
          <w:sz w:val="18"/>
          <w:szCs w:val="18"/>
        </w:rPr>
        <w:t>occurrence of</w:t>
      </w:r>
      <w:r w:rsidR="001934D0" w:rsidRPr="00507CD9">
        <w:rPr>
          <w:rFonts w:ascii="Verdana" w:hAnsi="Verdana" w:cs="Verdana"/>
          <w:color w:val="000000"/>
          <w:sz w:val="18"/>
          <w:szCs w:val="18"/>
        </w:rPr>
        <w:t xml:space="preserve"> the outcome of interest.</w:t>
      </w:r>
      <w:r w:rsidR="00F059E9" w:rsidRPr="00507CD9">
        <w:rPr>
          <w:rFonts w:ascii="Verdana" w:hAnsi="Verdana" w:cs="Verdana"/>
          <w:color w:val="000000"/>
          <w:sz w:val="18"/>
          <w:szCs w:val="18"/>
        </w:rPr>
        <w:t xml:space="preserve"> </w:t>
      </w:r>
      <w:r w:rsidR="00FF1EA3" w:rsidRPr="00507CD9">
        <w:rPr>
          <w:rFonts w:ascii="Verdana" w:hAnsi="Verdana" w:cs="Verdana"/>
          <w:color w:val="000000"/>
          <w:sz w:val="18"/>
          <w:szCs w:val="18"/>
        </w:rPr>
        <w:t xml:space="preserve">The propensity score approach </w:t>
      </w:r>
      <w:r w:rsidR="00A437D1" w:rsidRPr="00507CD9">
        <w:rPr>
          <w:rFonts w:ascii="Verdana" w:hAnsi="Verdana" w:cs="Verdana"/>
          <w:color w:val="000000"/>
          <w:sz w:val="18"/>
          <w:szCs w:val="18"/>
        </w:rPr>
        <w:t>can be</w:t>
      </w:r>
      <w:r w:rsidR="00FF1EA3" w:rsidRPr="00507CD9">
        <w:rPr>
          <w:rFonts w:ascii="Verdana" w:hAnsi="Verdana" w:cs="Verdana"/>
          <w:color w:val="000000"/>
          <w:sz w:val="18"/>
          <w:szCs w:val="18"/>
        </w:rPr>
        <w:t xml:space="preserve"> used </w:t>
      </w:r>
      <w:r w:rsidRPr="00507CD9">
        <w:rPr>
          <w:rFonts w:ascii="Verdana" w:hAnsi="Verdana" w:cs="Verdana"/>
          <w:color w:val="000000"/>
          <w:sz w:val="18"/>
          <w:szCs w:val="18"/>
        </w:rPr>
        <w:t>to address the problem</w:t>
      </w:r>
      <w:r w:rsidR="00FF1EA3" w:rsidRPr="00507CD9">
        <w:rPr>
          <w:rFonts w:ascii="Verdana" w:hAnsi="Verdana" w:cs="Verdana"/>
          <w:color w:val="000000"/>
          <w:sz w:val="18"/>
          <w:szCs w:val="18"/>
        </w:rPr>
        <w:t xml:space="preserve">, but </w:t>
      </w:r>
      <w:r w:rsidR="008050E0" w:rsidRPr="00507CD9">
        <w:rPr>
          <w:rFonts w:ascii="Verdana" w:hAnsi="Verdana" w:cs="Verdana"/>
          <w:color w:val="000000"/>
          <w:sz w:val="18"/>
          <w:szCs w:val="18"/>
        </w:rPr>
        <w:t xml:space="preserve">the </w:t>
      </w:r>
      <w:r w:rsidRPr="00507CD9">
        <w:rPr>
          <w:rFonts w:ascii="Verdana" w:hAnsi="Verdana" w:cs="Verdana"/>
          <w:color w:val="000000"/>
          <w:sz w:val="18"/>
          <w:szCs w:val="18"/>
        </w:rPr>
        <w:t>appropriate method and the assessment of whether the propensity score approach is valid will depend on the research question, patient population, outcomes for the specific study</w:t>
      </w:r>
      <w:r w:rsidR="008050E0" w:rsidRPr="00507CD9">
        <w:rPr>
          <w:rFonts w:ascii="Verdana" w:hAnsi="Verdana" w:cs="Verdana"/>
          <w:color w:val="000000"/>
          <w:sz w:val="18"/>
          <w:szCs w:val="18"/>
        </w:rPr>
        <w:t xml:space="preserve"> and data available</w:t>
      </w:r>
      <w:r w:rsidRPr="00507CD9">
        <w:rPr>
          <w:rFonts w:ascii="Verdana" w:hAnsi="Verdana" w:cs="Verdana"/>
          <w:color w:val="000000"/>
          <w:sz w:val="18"/>
          <w:szCs w:val="18"/>
        </w:rPr>
        <w:t>.</w:t>
      </w:r>
      <w:r w:rsidR="00CC0DFA" w:rsidRPr="00507CD9">
        <w:rPr>
          <w:rFonts w:ascii="Verdana" w:hAnsi="Verdana" w:cs="Verdana"/>
          <w:color w:val="000000"/>
          <w:sz w:val="18"/>
          <w:szCs w:val="18"/>
        </w:rPr>
        <w:t xml:space="preserve"> </w:t>
      </w:r>
      <w:r w:rsidR="0079225C" w:rsidRPr="00507CD9">
        <w:rPr>
          <w:rFonts w:ascii="Verdana" w:hAnsi="Verdana" w:cs="Verdana"/>
          <w:color w:val="000000"/>
          <w:sz w:val="18"/>
          <w:szCs w:val="18"/>
        </w:rPr>
        <w:t>Consideration should also be given to the fact</w:t>
      </w:r>
      <w:r w:rsidR="00A437D1" w:rsidRPr="00507CD9">
        <w:rPr>
          <w:rFonts w:ascii="Verdana" w:hAnsi="Verdana" w:cs="Verdana"/>
          <w:color w:val="000000"/>
          <w:sz w:val="18"/>
          <w:szCs w:val="18"/>
        </w:rPr>
        <w:t>s</w:t>
      </w:r>
      <w:r w:rsidR="0079225C" w:rsidRPr="00507CD9">
        <w:rPr>
          <w:rFonts w:ascii="Verdana" w:hAnsi="Verdana" w:cs="Verdana"/>
          <w:color w:val="000000"/>
          <w:sz w:val="18"/>
          <w:szCs w:val="18"/>
        </w:rPr>
        <w:t xml:space="preserve"> that the potential set of variables required for the propensity score approach may vary among studies and will need to be available for all exposure groups, and that the appropriate use of propensity scores in the analysis (i.e. matching, inverse probability of treatment weighting (IPTW), stratification and adjusting)</w:t>
      </w:r>
      <w:r w:rsidR="00F35C79" w:rsidRPr="00507CD9">
        <w:rPr>
          <w:rFonts w:ascii="Verdana" w:hAnsi="Verdana" w:cs="Verdana"/>
          <w:color w:val="000000"/>
          <w:sz w:val="18"/>
          <w:szCs w:val="18"/>
        </w:rPr>
        <w:t xml:space="preserve"> </w:t>
      </w:r>
      <w:r w:rsidR="0079225C" w:rsidRPr="00507CD9">
        <w:rPr>
          <w:rFonts w:ascii="Verdana" w:hAnsi="Verdana" w:cs="Verdana"/>
          <w:color w:val="000000"/>
          <w:sz w:val="18"/>
          <w:szCs w:val="18"/>
        </w:rPr>
        <w:t>depends on the study characteristics</w:t>
      </w:r>
      <w:r w:rsidRPr="00507CD9">
        <w:rPr>
          <w:rFonts w:ascii="Verdana" w:hAnsi="Verdana" w:cs="Verdana"/>
          <w:color w:val="000000"/>
          <w:sz w:val="18"/>
          <w:szCs w:val="18"/>
        </w:rPr>
        <w:t xml:space="preserve">. When an </w:t>
      </w:r>
      <w:r w:rsidRPr="00507CD9">
        <w:rPr>
          <w:rFonts w:ascii="Verdana" w:hAnsi="Verdana"/>
          <w:sz w:val="18"/>
          <w:szCs w:val="18"/>
        </w:rPr>
        <w:t xml:space="preserve">instrumental variable (IV) can be identified it may also be considered to address unidentified confounding in comparative studies, for example if the confounders are unknown or are </w:t>
      </w:r>
      <w:r w:rsidR="0059749F" w:rsidRPr="00507CD9">
        <w:rPr>
          <w:rFonts w:ascii="Verdana" w:hAnsi="Verdana"/>
          <w:sz w:val="18"/>
          <w:szCs w:val="18"/>
        </w:rPr>
        <w:t xml:space="preserve">likely to be </w:t>
      </w:r>
      <w:r w:rsidRPr="00507CD9">
        <w:rPr>
          <w:rFonts w:ascii="Verdana" w:hAnsi="Verdana"/>
          <w:sz w:val="18"/>
          <w:szCs w:val="18"/>
        </w:rPr>
        <w:t>measured with error.</w:t>
      </w:r>
      <w:r w:rsidRPr="00507CD9">
        <w:rPr>
          <w:rFonts w:ascii="Verdana" w:hAnsi="Verdana" w:cs="Verdana"/>
          <w:color w:val="000000"/>
          <w:sz w:val="18"/>
          <w:szCs w:val="18"/>
        </w:rPr>
        <w:t xml:space="preserve"> </w:t>
      </w:r>
    </w:p>
    <w:p w:rsidR="001D1AE2" w:rsidRPr="006E7959" w:rsidRDefault="00D64049" w:rsidP="006E7959">
      <w:pPr>
        <w:pStyle w:val="Default"/>
        <w:numPr>
          <w:ilvl w:val="0"/>
          <w:numId w:val="31"/>
        </w:numPr>
        <w:spacing w:after="140" w:line="280" w:lineRule="exact"/>
        <w:ind w:left="714" w:hanging="357"/>
        <w:rPr>
          <w:rFonts w:eastAsia="Verdana"/>
          <w:bCs/>
          <w:color w:val="auto"/>
          <w:sz w:val="18"/>
          <w:szCs w:val="18"/>
          <w:lang w:val="en-GB" w:eastAsia="en-GB"/>
        </w:rPr>
      </w:pPr>
      <w:r w:rsidRPr="006E7959">
        <w:rPr>
          <w:rFonts w:eastAsia="Verdana"/>
          <w:bCs/>
          <w:color w:val="auto"/>
          <w:sz w:val="18"/>
          <w:szCs w:val="18"/>
          <w:lang w:val="en-GB" w:eastAsia="en-GB"/>
        </w:rPr>
        <w:t xml:space="preserve">Registries offer the opportunity to compare </w:t>
      </w:r>
      <w:r w:rsidR="00184077" w:rsidRPr="006E7959">
        <w:rPr>
          <w:rFonts w:eastAsia="Verdana"/>
          <w:bCs/>
          <w:color w:val="auto"/>
          <w:sz w:val="18"/>
          <w:szCs w:val="18"/>
          <w:lang w:val="en-GB" w:eastAsia="en-GB"/>
        </w:rPr>
        <w:t xml:space="preserve">patients receiving a new drug with patients who are untreated or who </w:t>
      </w:r>
      <w:r w:rsidR="00A437D1" w:rsidRPr="006E7959">
        <w:rPr>
          <w:rFonts w:eastAsia="Verdana"/>
          <w:bCs/>
          <w:color w:val="auto"/>
          <w:sz w:val="18"/>
          <w:szCs w:val="18"/>
          <w:lang w:val="en-GB" w:eastAsia="en-GB"/>
        </w:rPr>
        <w:t xml:space="preserve">have </w:t>
      </w:r>
      <w:r w:rsidR="00184077" w:rsidRPr="006E7959">
        <w:rPr>
          <w:rFonts w:eastAsia="Verdana"/>
          <w:bCs/>
          <w:color w:val="auto"/>
          <w:sz w:val="18"/>
          <w:szCs w:val="18"/>
          <w:lang w:val="en-GB" w:eastAsia="en-GB"/>
        </w:rPr>
        <w:t xml:space="preserve">received different therapies over a long period of time. </w:t>
      </w:r>
      <w:r w:rsidR="00543B54" w:rsidRPr="006E7959">
        <w:rPr>
          <w:rFonts w:eastAsia="Verdana"/>
          <w:bCs/>
          <w:color w:val="auto"/>
          <w:sz w:val="18"/>
          <w:szCs w:val="18"/>
          <w:lang w:val="en-GB" w:eastAsia="en-GB"/>
        </w:rPr>
        <w:t xml:space="preserve">Use of </w:t>
      </w:r>
      <w:r w:rsidR="00543B54" w:rsidRPr="006E7959">
        <w:rPr>
          <w:color w:val="auto"/>
          <w:sz w:val="18"/>
          <w:szCs w:val="18"/>
          <w:lang w:val="en-GB"/>
        </w:rPr>
        <w:t>prevalent</w:t>
      </w:r>
      <w:r w:rsidR="002B633E" w:rsidRPr="006E7959">
        <w:rPr>
          <w:color w:val="auto"/>
          <w:sz w:val="18"/>
          <w:szCs w:val="18"/>
          <w:lang w:val="en-GB"/>
        </w:rPr>
        <w:t xml:space="preserve"> drug</w:t>
      </w:r>
      <w:r w:rsidR="00543B54" w:rsidRPr="006E7959">
        <w:rPr>
          <w:color w:val="auto"/>
          <w:sz w:val="18"/>
          <w:szCs w:val="18"/>
          <w:lang w:val="en-GB"/>
        </w:rPr>
        <w:t xml:space="preserve"> users in a registry study (i.e. patients </w:t>
      </w:r>
      <w:r w:rsidR="00A437D1" w:rsidRPr="006E7959">
        <w:rPr>
          <w:color w:val="auto"/>
          <w:sz w:val="18"/>
          <w:szCs w:val="18"/>
          <w:lang w:val="en-GB"/>
        </w:rPr>
        <w:t>already treated</w:t>
      </w:r>
      <w:r w:rsidR="00543B54" w:rsidRPr="006E7959">
        <w:rPr>
          <w:color w:val="auto"/>
          <w:sz w:val="18"/>
          <w:szCs w:val="18"/>
          <w:lang w:val="en-GB"/>
        </w:rPr>
        <w:t xml:space="preserve"> for some time before study follow-</w:t>
      </w:r>
      <w:r w:rsidR="00543B54" w:rsidRPr="006E7959">
        <w:rPr>
          <w:color w:val="auto"/>
          <w:sz w:val="18"/>
          <w:szCs w:val="18"/>
          <w:lang w:val="en-GB"/>
        </w:rPr>
        <w:lastRenderedPageBreak/>
        <w:t>up beg</w:t>
      </w:r>
      <w:r w:rsidR="00A437D1" w:rsidRPr="006E7959">
        <w:rPr>
          <w:color w:val="auto"/>
          <w:sz w:val="18"/>
          <w:szCs w:val="18"/>
          <w:lang w:val="en-GB"/>
        </w:rPr>
        <w:t>ins</w:t>
      </w:r>
      <w:r w:rsidR="00543B54" w:rsidRPr="006E7959">
        <w:rPr>
          <w:color w:val="auto"/>
          <w:sz w:val="18"/>
          <w:szCs w:val="18"/>
          <w:lang w:val="en-GB"/>
        </w:rPr>
        <w:t xml:space="preserve">) can cause two types of bias: </w:t>
      </w:r>
      <w:r w:rsidR="00FA216D" w:rsidRPr="006E7959">
        <w:rPr>
          <w:color w:val="auto"/>
          <w:sz w:val="18"/>
          <w:szCs w:val="18"/>
          <w:lang w:val="en-GB"/>
        </w:rPr>
        <w:t xml:space="preserve">firstly, </w:t>
      </w:r>
      <w:r w:rsidR="00543B54" w:rsidRPr="006E7959">
        <w:rPr>
          <w:color w:val="auto"/>
          <w:sz w:val="18"/>
          <w:szCs w:val="18"/>
          <w:lang w:val="en-GB"/>
        </w:rPr>
        <w:t>prevalent</w:t>
      </w:r>
      <w:r w:rsidR="002B633E" w:rsidRPr="006E7959">
        <w:rPr>
          <w:color w:val="auto"/>
          <w:sz w:val="18"/>
          <w:szCs w:val="18"/>
          <w:lang w:val="en-GB"/>
        </w:rPr>
        <w:t xml:space="preserve"> drug</w:t>
      </w:r>
      <w:r w:rsidR="00543B54" w:rsidRPr="006E7959">
        <w:rPr>
          <w:color w:val="auto"/>
          <w:sz w:val="18"/>
          <w:szCs w:val="18"/>
          <w:lang w:val="en-GB"/>
        </w:rPr>
        <w:t xml:space="preserve"> users are “survivors” of the early period of </w:t>
      </w:r>
      <w:r w:rsidR="00FA216D" w:rsidRPr="006E7959">
        <w:rPr>
          <w:color w:val="auto"/>
          <w:sz w:val="18"/>
          <w:szCs w:val="18"/>
          <w:lang w:val="en-GB"/>
        </w:rPr>
        <w:t>treatment</w:t>
      </w:r>
      <w:r w:rsidR="00543B54" w:rsidRPr="006E7959">
        <w:rPr>
          <w:color w:val="auto"/>
          <w:sz w:val="18"/>
          <w:szCs w:val="18"/>
          <w:lang w:val="en-GB"/>
        </w:rPr>
        <w:t xml:space="preserve">, which can introduce substantial bias if risk varies with time, </w:t>
      </w:r>
      <w:r w:rsidR="00FA216D" w:rsidRPr="006E7959">
        <w:rPr>
          <w:color w:val="auto"/>
          <w:sz w:val="18"/>
          <w:szCs w:val="18"/>
          <w:lang w:val="en-GB"/>
        </w:rPr>
        <w:t>and s</w:t>
      </w:r>
      <w:r w:rsidR="00543B54" w:rsidRPr="006E7959">
        <w:rPr>
          <w:color w:val="auto"/>
          <w:sz w:val="18"/>
          <w:szCs w:val="18"/>
          <w:lang w:val="en-GB"/>
        </w:rPr>
        <w:t>econd</w:t>
      </w:r>
      <w:r w:rsidR="00FA216D" w:rsidRPr="006E7959">
        <w:rPr>
          <w:color w:val="auto"/>
          <w:sz w:val="18"/>
          <w:szCs w:val="18"/>
          <w:lang w:val="en-GB"/>
        </w:rPr>
        <w:t>ly</w:t>
      </w:r>
      <w:r w:rsidR="00603B20" w:rsidRPr="006E7959">
        <w:rPr>
          <w:color w:val="auto"/>
          <w:sz w:val="18"/>
          <w:szCs w:val="18"/>
          <w:lang w:val="en-GB"/>
        </w:rPr>
        <w:t>, covariates for drug use</w:t>
      </w:r>
      <w:r w:rsidR="00543B54" w:rsidRPr="006E7959">
        <w:rPr>
          <w:color w:val="auto"/>
          <w:sz w:val="18"/>
          <w:szCs w:val="18"/>
          <w:lang w:val="en-GB"/>
        </w:rPr>
        <w:t xml:space="preserve"> at study entry</w:t>
      </w:r>
      <w:r w:rsidR="00A86966" w:rsidRPr="006E7959">
        <w:rPr>
          <w:color w:val="auto"/>
          <w:sz w:val="18"/>
          <w:szCs w:val="18"/>
          <w:lang w:val="en-GB"/>
        </w:rPr>
        <w:t xml:space="preserve"> (e.g. disease severity)</w:t>
      </w:r>
      <w:r w:rsidR="00543B54" w:rsidRPr="006E7959">
        <w:rPr>
          <w:color w:val="auto"/>
          <w:sz w:val="18"/>
          <w:szCs w:val="18"/>
          <w:lang w:val="en-GB"/>
        </w:rPr>
        <w:t xml:space="preserve"> </w:t>
      </w:r>
      <w:r w:rsidR="00A437D1" w:rsidRPr="006E7959">
        <w:rPr>
          <w:color w:val="auto"/>
          <w:sz w:val="18"/>
          <w:szCs w:val="18"/>
          <w:lang w:val="en-GB"/>
        </w:rPr>
        <w:t>may be</w:t>
      </w:r>
      <w:r w:rsidR="00543B54" w:rsidRPr="006E7959">
        <w:rPr>
          <w:color w:val="auto"/>
          <w:sz w:val="18"/>
          <w:szCs w:val="18"/>
          <w:lang w:val="en-GB"/>
        </w:rPr>
        <w:t xml:space="preserve"> affected by </w:t>
      </w:r>
      <w:r w:rsidR="00603B20" w:rsidRPr="006E7959">
        <w:rPr>
          <w:color w:val="auto"/>
          <w:sz w:val="18"/>
          <w:szCs w:val="18"/>
          <w:lang w:val="en-GB"/>
        </w:rPr>
        <w:t xml:space="preserve">previous utilisation of </w:t>
      </w:r>
      <w:r w:rsidR="00543B54" w:rsidRPr="006E7959">
        <w:rPr>
          <w:color w:val="auto"/>
          <w:sz w:val="18"/>
          <w:szCs w:val="18"/>
          <w:lang w:val="en-GB"/>
        </w:rPr>
        <w:t>the drug itself</w:t>
      </w:r>
      <w:r w:rsidR="00FA216D" w:rsidRPr="006E7959">
        <w:rPr>
          <w:color w:val="auto"/>
          <w:sz w:val="18"/>
          <w:szCs w:val="18"/>
          <w:lang w:val="en-GB"/>
        </w:rPr>
        <w:t xml:space="preserve">, </w:t>
      </w:r>
      <w:r w:rsidR="00543B54" w:rsidRPr="006E7959">
        <w:rPr>
          <w:color w:val="auto"/>
          <w:sz w:val="18"/>
          <w:szCs w:val="18"/>
          <w:lang w:val="en-GB"/>
        </w:rPr>
        <w:t xml:space="preserve">which may introduce confounding. A </w:t>
      </w:r>
      <w:r w:rsidR="00543B54" w:rsidRPr="006E7959">
        <w:rPr>
          <w:rStyle w:val="Hervorhebung"/>
          <w:color w:val="auto"/>
          <w:sz w:val="18"/>
          <w:szCs w:val="18"/>
          <w:lang w:val="en-GB"/>
        </w:rPr>
        <w:t>new-user</w:t>
      </w:r>
      <w:r w:rsidR="00FA216D" w:rsidRPr="006E7959">
        <w:rPr>
          <w:rStyle w:val="Hervorhebung"/>
          <w:color w:val="auto"/>
          <w:sz w:val="18"/>
          <w:szCs w:val="18"/>
          <w:lang w:val="en-GB"/>
        </w:rPr>
        <w:t xml:space="preserve"> </w:t>
      </w:r>
      <w:r w:rsidR="00543B54" w:rsidRPr="006E7959">
        <w:rPr>
          <w:rStyle w:val="Hervorhebung"/>
          <w:color w:val="auto"/>
          <w:sz w:val="18"/>
          <w:szCs w:val="18"/>
          <w:lang w:val="en-GB"/>
        </w:rPr>
        <w:t>design</w:t>
      </w:r>
      <w:r w:rsidR="00543B54" w:rsidRPr="006E7959">
        <w:rPr>
          <w:color w:val="auto"/>
          <w:sz w:val="18"/>
          <w:szCs w:val="18"/>
          <w:lang w:val="en-GB"/>
        </w:rPr>
        <w:t xml:space="preserve"> eliminates these biases by restricting the analysis to </w:t>
      </w:r>
      <w:r w:rsidR="00FA216D" w:rsidRPr="006E7959">
        <w:rPr>
          <w:color w:val="auto"/>
          <w:sz w:val="18"/>
          <w:szCs w:val="18"/>
          <w:lang w:val="en-GB"/>
        </w:rPr>
        <w:t xml:space="preserve">incident </w:t>
      </w:r>
      <w:r w:rsidR="002B633E" w:rsidRPr="006E7959">
        <w:rPr>
          <w:color w:val="auto"/>
          <w:sz w:val="18"/>
          <w:szCs w:val="18"/>
          <w:lang w:val="en-GB"/>
        </w:rPr>
        <w:t xml:space="preserve">drug </w:t>
      </w:r>
      <w:r w:rsidR="00FA216D" w:rsidRPr="006E7959">
        <w:rPr>
          <w:color w:val="auto"/>
          <w:sz w:val="18"/>
          <w:szCs w:val="18"/>
          <w:lang w:val="en-GB"/>
        </w:rPr>
        <w:t xml:space="preserve">users, i.e. </w:t>
      </w:r>
      <w:r w:rsidR="00543B54" w:rsidRPr="006E7959">
        <w:rPr>
          <w:color w:val="auto"/>
          <w:sz w:val="18"/>
          <w:szCs w:val="18"/>
          <w:lang w:val="en-GB"/>
        </w:rPr>
        <w:t xml:space="preserve">persons </w:t>
      </w:r>
      <w:r w:rsidR="00A339DB" w:rsidRPr="006E7959">
        <w:rPr>
          <w:color w:val="auto"/>
          <w:sz w:val="18"/>
          <w:szCs w:val="18"/>
          <w:lang w:val="en-GB"/>
        </w:rPr>
        <w:t>enter the study cohort</w:t>
      </w:r>
      <w:r w:rsidR="00A86966" w:rsidRPr="006E7959">
        <w:rPr>
          <w:color w:val="auto"/>
          <w:sz w:val="18"/>
          <w:szCs w:val="18"/>
          <w:lang w:val="en-GB"/>
        </w:rPr>
        <w:t xml:space="preserve"> only</w:t>
      </w:r>
      <w:r w:rsidR="00543B54" w:rsidRPr="006E7959">
        <w:rPr>
          <w:color w:val="auto"/>
          <w:sz w:val="18"/>
          <w:szCs w:val="18"/>
          <w:lang w:val="en-GB"/>
        </w:rPr>
        <w:t xml:space="preserve"> at the start of the </w:t>
      </w:r>
      <w:r w:rsidR="00A86966" w:rsidRPr="006E7959">
        <w:rPr>
          <w:color w:val="auto"/>
          <w:sz w:val="18"/>
          <w:szCs w:val="18"/>
          <w:lang w:val="en-GB"/>
        </w:rPr>
        <w:t>first</w:t>
      </w:r>
      <w:r w:rsidR="00543B54" w:rsidRPr="006E7959">
        <w:rPr>
          <w:color w:val="auto"/>
          <w:sz w:val="18"/>
          <w:szCs w:val="18"/>
          <w:lang w:val="en-GB"/>
        </w:rPr>
        <w:t xml:space="preserve"> course of </w:t>
      </w:r>
      <w:r w:rsidR="006B7EEA">
        <w:rPr>
          <w:color w:val="auto"/>
          <w:sz w:val="18"/>
          <w:szCs w:val="18"/>
          <w:lang w:val="en-GB"/>
        </w:rPr>
        <w:t xml:space="preserve">the </w:t>
      </w:r>
      <w:r w:rsidR="00543B54" w:rsidRPr="006E7959">
        <w:rPr>
          <w:color w:val="auto"/>
          <w:sz w:val="18"/>
          <w:szCs w:val="18"/>
          <w:lang w:val="en-GB"/>
        </w:rPr>
        <w:t>treatment</w:t>
      </w:r>
      <w:r w:rsidR="006B7EEA">
        <w:rPr>
          <w:color w:val="auto"/>
          <w:sz w:val="18"/>
          <w:szCs w:val="18"/>
          <w:lang w:val="en-GB"/>
        </w:rPr>
        <w:t xml:space="preserve"> of interest</w:t>
      </w:r>
      <w:r w:rsidR="00A86966" w:rsidRPr="006E7959">
        <w:rPr>
          <w:color w:val="auto"/>
          <w:sz w:val="18"/>
          <w:szCs w:val="18"/>
          <w:lang w:val="en-GB"/>
        </w:rPr>
        <w:t xml:space="preserve"> during the study period</w:t>
      </w:r>
      <w:r w:rsidR="00A3591A" w:rsidRPr="006E7959">
        <w:rPr>
          <w:color w:val="auto"/>
          <w:sz w:val="18"/>
          <w:szCs w:val="18"/>
          <w:lang w:val="en-GB"/>
        </w:rPr>
        <w:t>.</w:t>
      </w:r>
      <w:r w:rsidRPr="006E7959">
        <w:rPr>
          <w:color w:val="auto"/>
          <w:sz w:val="18"/>
          <w:szCs w:val="18"/>
          <w:lang w:val="en-GB"/>
        </w:rPr>
        <w:t xml:space="preserve"> </w:t>
      </w:r>
      <w:r w:rsidR="00A3591A" w:rsidRPr="006E7959">
        <w:rPr>
          <w:color w:val="auto"/>
          <w:sz w:val="18"/>
          <w:szCs w:val="18"/>
          <w:lang w:val="en-GB"/>
        </w:rPr>
        <w:t xml:space="preserve">Its </w:t>
      </w:r>
      <w:r w:rsidR="0059749F" w:rsidRPr="006E7959">
        <w:rPr>
          <w:color w:val="auto"/>
          <w:sz w:val="18"/>
          <w:szCs w:val="18"/>
          <w:lang w:val="en-GB"/>
        </w:rPr>
        <w:t>weaknesses</w:t>
      </w:r>
      <w:r w:rsidR="00A3591A" w:rsidRPr="006E7959">
        <w:rPr>
          <w:color w:val="auto"/>
          <w:sz w:val="18"/>
          <w:szCs w:val="18"/>
          <w:lang w:val="en-GB"/>
        </w:rPr>
        <w:t>, however,</w:t>
      </w:r>
      <w:r w:rsidR="0059749F" w:rsidRPr="006E7959">
        <w:rPr>
          <w:color w:val="auto"/>
          <w:sz w:val="18"/>
          <w:szCs w:val="18"/>
          <w:lang w:val="en-GB"/>
        </w:rPr>
        <w:t xml:space="preserve"> include reduced precision of estimates due to lower sample size, a likely reduction in </w:t>
      </w:r>
      <w:r w:rsidR="00A3591A" w:rsidRPr="006E7959">
        <w:rPr>
          <w:color w:val="auto"/>
          <w:sz w:val="18"/>
          <w:szCs w:val="18"/>
          <w:lang w:val="en-GB"/>
        </w:rPr>
        <w:t xml:space="preserve">the number of </w:t>
      </w:r>
      <w:r w:rsidR="0059749F" w:rsidRPr="006E7959">
        <w:rPr>
          <w:color w:val="auto"/>
          <w:sz w:val="18"/>
          <w:szCs w:val="18"/>
          <w:lang w:val="en-GB"/>
        </w:rPr>
        <w:t xml:space="preserve">patients with long-term exposure, </w:t>
      </w:r>
      <w:r w:rsidR="00A3591A" w:rsidRPr="006E7959">
        <w:rPr>
          <w:color w:val="auto"/>
          <w:sz w:val="18"/>
          <w:szCs w:val="18"/>
          <w:lang w:val="en-GB"/>
        </w:rPr>
        <w:t xml:space="preserve">and </w:t>
      </w:r>
      <w:r w:rsidR="0059749F" w:rsidRPr="006E7959">
        <w:rPr>
          <w:color w:val="auto"/>
          <w:sz w:val="18"/>
          <w:szCs w:val="18"/>
          <w:lang w:val="en-GB"/>
        </w:rPr>
        <w:t>the possibility of accentuated selection bias when a new treatment is compared with new-users of one that is potentially outdated</w:t>
      </w:r>
      <w:r w:rsidR="00A3591A" w:rsidRPr="006E7959">
        <w:rPr>
          <w:color w:val="auto"/>
          <w:sz w:val="18"/>
          <w:szCs w:val="18"/>
          <w:lang w:val="en-GB"/>
        </w:rPr>
        <w:t>.</w:t>
      </w:r>
      <w:r w:rsidR="0059749F" w:rsidRPr="006E7959">
        <w:rPr>
          <w:color w:val="auto"/>
          <w:sz w:val="18"/>
          <w:szCs w:val="18"/>
          <w:lang w:val="en-GB"/>
        </w:rPr>
        <w:t xml:space="preserve"> </w:t>
      </w:r>
      <w:r w:rsidR="00A3591A" w:rsidRPr="006E7959">
        <w:rPr>
          <w:color w:val="auto"/>
          <w:sz w:val="18"/>
          <w:szCs w:val="18"/>
          <w:lang w:val="en-GB"/>
        </w:rPr>
        <w:t xml:space="preserve">Moreover, </w:t>
      </w:r>
      <w:r w:rsidR="0059749F" w:rsidRPr="006E7959">
        <w:rPr>
          <w:color w:val="auto"/>
          <w:sz w:val="18"/>
          <w:szCs w:val="18"/>
          <w:lang w:val="en-GB"/>
        </w:rPr>
        <w:t>comparison of new-users of competing treatments may not be the question of interest.</w:t>
      </w:r>
    </w:p>
    <w:p w:rsidR="002B633E" w:rsidRPr="00A3591A" w:rsidRDefault="00D64049" w:rsidP="00BD0687">
      <w:pPr>
        <w:pStyle w:val="Listenabsatz"/>
        <w:numPr>
          <w:ilvl w:val="0"/>
          <w:numId w:val="31"/>
        </w:numPr>
        <w:shd w:val="clear" w:color="auto" w:fill="FFFFFF"/>
        <w:spacing w:after="140" w:line="280" w:lineRule="exact"/>
        <w:contextualSpacing w:val="0"/>
        <w:rPr>
          <w:rFonts w:ascii="Verdana" w:eastAsia="Times New Roman" w:hAnsi="Verdana"/>
          <w:sz w:val="18"/>
          <w:szCs w:val="18"/>
        </w:rPr>
      </w:pPr>
      <w:r w:rsidRPr="00507CD9">
        <w:rPr>
          <w:rFonts w:ascii="Verdana" w:eastAsia="Verdana" w:hAnsi="Verdana"/>
          <w:bCs/>
          <w:sz w:val="18"/>
          <w:szCs w:val="18"/>
        </w:rPr>
        <w:t xml:space="preserve">A common error in analysis may be made in </w:t>
      </w:r>
      <w:r w:rsidR="00815A0A" w:rsidRPr="00507CD9">
        <w:rPr>
          <w:rFonts w:ascii="Verdana" w:eastAsia="Verdana" w:hAnsi="Verdana"/>
          <w:bCs/>
          <w:sz w:val="18"/>
          <w:szCs w:val="18"/>
        </w:rPr>
        <w:t>registry studies</w:t>
      </w:r>
      <w:r w:rsidR="0078105B" w:rsidRPr="00507CD9">
        <w:rPr>
          <w:rFonts w:ascii="Verdana" w:eastAsia="Verdana" w:hAnsi="Verdana"/>
          <w:bCs/>
          <w:sz w:val="18"/>
          <w:szCs w:val="18"/>
        </w:rPr>
        <w:t xml:space="preserve"> when the follow-up period </w:t>
      </w:r>
      <w:r w:rsidR="004C61EE" w:rsidRPr="00507CD9">
        <w:rPr>
          <w:rFonts w:ascii="Verdana" w:eastAsia="Verdana" w:hAnsi="Verdana"/>
          <w:bCs/>
          <w:sz w:val="18"/>
          <w:szCs w:val="18"/>
        </w:rPr>
        <w:t>s</w:t>
      </w:r>
      <w:r w:rsidR="0078105B" w:rsidRPr="00507CD9">
        <w:rPr>
          <w:rFonts w:ascii="Verdana" w:eastAsia="Verdana" w:hAnsi="Verdana"/>
          <w:bCs/>
          <w:sz w:val="18"/>
          <w:szCs w:val="18"/>
        </w:rPr>
        <w:t>tarts (sometimes a long time)</w:t>
      </w:r>
      <w:r w:rsidR="00682E90" w:rsidRPr="00507CD9">
        <w:rPr>
          <w:rFonts w:ascii="Verdana" w:eastAsia="Verdana" w:hAnsi="Verdana"/>
          <w:bCs/>
          <w:sz w:val="18"/>
          <w:szCs w:val="18"/>
        </w:rPr>
        <w:t xml:space="preserve"> before</w:t>
      </w:r>
      <w:r w:rsidR="0078105B" w:rsidRPr="00507CD9">
        <w:rPr>
          <w:rFonts w:ascii="Verdana" w:eastAsia="Verdana" w:hAnsi="Verdana"/>
          <w:bCs/>
          <w:sz w:val="18"/>
          <w:szCs w:val="18"/>
        </w:rPr>
        <w:t xml:space="preserve"> the start of the treatment under study</w:t>
      </w:r>
      <w:r w:rsidR="00682E90" w:rsidRPr="00507CD9">
        <w:rPr>
          <w:rFonts w:ascii="Verdana" w:eastAsia="Verdana" w:hAnsi="Verdana"/>
          <w:bCs/>
          <w:sz w:val="18"/>
          <w:szCs w:val="18"/>
        </w:rPr>
        <w:t>,</w:t>
      </w:r>
      <w:r w:rsidR="0078105B" w:rsidRPr="00507CD9">
        <w:rPr>
          <w:rFonts w:ascii="Verdana" w:eastAsia="Verdana" w:hAnsi="Verdana"/>
          <w:bCs/>
          <w:sz w:val="18"/>
          <w:szCs w:val="18"/>
        </w:rPr>
        <w:t xml:space="preserve"> especially where </w:t>
      </w:r>
      <w:r w:rsidR="00815A0A" w:rsidRPr="00507CD9">
        <w:rPr>
          <w:rFonts w:ascii="Verdana" w:eastAsia="Verdana" w:hAnsi="Verdana"/>
          <w:bCs/>
          <w:sz w:val="18"/>
          <w:szCs w:val="18"/>
        </w:rPr>
        <w:t xml:space="preserve">the patients switch from one drug to </w:t>
      </w:r>
      <w:r w:rsidR="00C73A52">
        <w:rPr>
          <w:rFonts w:ascii="Verdana" w:eastAsia="Verdana" w:hAnsi="Verdana"/>
          <w:bCs/>
          <w:sz w:val="18"/>
          <w:szCs w:val="18"/>
        </w:rPr>
        <w:t>an</w:t>
      </w:r>
      <w:r w:rsidR="00815A0A" w:rsidRPr="00507CD9">
        <w:rPr>
          <w:rFonts w:ascii="Verdana" w:eastAsia="Verdana" w:hAnsi="Verdana"/>
          <w:bCs/>
          <w:sz w:val="18"/>
          <w:szCs w:val="18"/>
        </w:rPr>
        <w:t xml:space="preserve">other and </w:t>
      </w:r>
      <w:r w:rsidR="0078105B" w:rsidRPr="00507CD9">
        <w:rPr>
          <w:rFonts w:ascii="Verdana" w:eastAsia="Verdana" w:hAnsi="Verdana"/>
          <w:bCs/>
          <w:sz w:val="18"/>
          <w:szCs w:val="18"/>
        </w:rPr>
        <w:t xml:space="preserve">a comparison is made with untreated patients. </w:t>
      </w:r>
      <w:r w:rsidR="0078105B" w:rsidRPr="00507CD9">
        <w:rPr>
          <w:rFonts w:ascii="Verdana" w:hAnsi="Verdana"/>
          <w:sz w:val="18"/>
          <w:szCs w:val="18"/>
        </w:rPr>
        <w:t xml:space="preserve">Immortal time bias can arise when the period between </w:t>
      </w:r>
      <w:r w:rsidR="00682E90" w:rsidRPr="00507CD9">
        <w:rPr>
          <w:rFonts w:ascii="Verdana" w:hAnsi="Verdana"/>
          <w:sz w:val="18"/>
          <w:szCs w:val="18"/>
        </w:rPr>
        <w:t>the sta</w:t>
      </w:r>
      <w:r w:rsidR="00815A0A" w:rsidRPr="00507CD9">
        <w:rPr>
          <w:rFonts w:ascii="Verdana" w:hAnsi="Verdana"/>
          <w:sz w:val="18"/>
          <w:szCs w:val="18"/>
        </w:rPr>
        <w:t>r</w:t>
      </w:r>
      <w:r w:rsidR="00682E90" w:rsidRPr="00507CD9">
        <w:rPr>
          <w:rFonts w:ascii="Verdana" w:hAnsi="Verdana"/>
          <w:sz w:val="18"/>
          <w:szCs w:val="18"/>
        </w:rPr>
        <w:t>t of follow-up</w:t>
      </w:r>
      <w:r w:rsidR="0078105B" w:rsidRPr="00507CD9">
        <w:rPr>
          <w:rFonts w:ascii="Verdana" w:hAnsi="Verdana"/>
          <w:sz w:val="18"/>
          <w:szCs w:val="18"/>
        </w:rPr>
        <w:t xml:space="preserve"> and </w:t>
      </w:r>
      <w:r w:rsidR="00682E90" w:rsidRPr="00507CD9">
        <w:rPr>
          <w:rFonts w:ascii="Verdana" w:hAnsi="Verdana"/>
          <w:sz w:val="18"/>
          <w:szCs w:val="18"/>
        </w:rPr>
        <w:t xml:space="preserve">the </w:t>
      </w:r>
      <w:r w:rsidR="0078105B" w:rsidRPr="00507CD9">
        <w:rPr>
          <w:rFonts w:ascii="Verdana" w:hAnsi="Verdana"/>
          <w:sz w:val="18"/>
          <w:szCs w:val="18"/>
        </w:rPr>
        <w:t xml:space="preserve">date of first exposure to </w:t>
      </w:r>
      <w:r w:rsidR="00682E90" w:rsidRPr="00507CD9">
        <w:rPr>
          <w:rFonts w:ascii="Verdana" w:hAnsi="Verdana"/>
          <w:sz w:val="18"/>
          <w:szCs w:val="18"/>
        </w:rPr>
        <w:t>the</w:t>
      </w:r>
      <w:r w:rsidR="0078105B" w:rsidRPr="00507CD9">
        <w:rPr>
          <w:rFonts w:ascii="Verdana" w:hAnsi="Verdana"/>
          <w:sz w:val="18"/>
          <w:szCs w:val="18"/>
        </w:rPr>
        <w:t xml:space="preserve"> drug</w:t>
      </w:r>
      <w:r w:rsidR="00682E90" w:rsidRPr="00507CD9">
        <w:rPr>
          <w:rFonts w:ascii="Verdana" w:hAnsi="Verdana"/>
          <w:sz w:val="18"/>
          <w:szCs w:val="18"/>
        </w:rPr>
        <w:t xml:space="preserve"> of interest</w:t>
      </w:r>
      <w:r w:rsidR="00815A0A" w:rsidRPr="00507CD9">
        <w:rPr>
          <w:rFonts w:ascii="Verdana" w:hAnsi="Verdana"/>
          <w:sz w:val="18"/>
          <w:szCs w:val="18"/>
        </w:rPr>
        <w:t>, which is unavoidably event-free</w:t>
      </w:r>
      <w:r w:rsidR="0078105B" w:rsidRPr="00507CD9">
        <w:rPr>
          <w:rFonts w:ascii="Verdana" w:hAnsi="Verdana"/>
          <w:sz w:val="18"/>
          <w:szCs w:val="18"/>
        </w:rPr>
        <w:t xml:space="preserve"> in case of a drug-specific effect</w:t>
      </w:r>
      <w:r w:rsidR="00815A0A" w:rsidRPr="00507CD9">
        <w:rPr>
          <w:rFonts w:ascii="Verdana" w:hAnsi="Verdana"/>
          <w:sz w:val="18"/>
          <w:szCs w:val="18"/>
        </w:rPr>
        <w:t>,</w:t>
      </w:r>
      <w:r w:rsidR="0078105B" w:rsidRPr="00507CD9">
        <w:rPr>
          <w:rFonts w:ascii="Verdana" w:hAnsi="Verdana"/>
          <w:sz w:val="18"/>
          <w:szCs w:val="18"/>
        </w:rPr>
        <w:t xml:space="preserve"> is either misclassified or simply excluded and not accounted for in the analysis</w:t>
      </w:r>
      <w:r w:rsidR="00682E90" w:rsidRPr="00507CD9">
        <w:rPr>
          <w:rFonts w:ascii="Verdana" w:hAnsi="Verdana"/>
          <w:sz w:val="18"/>
          <w:szCs w:val="18"/>
        </w:rPr>
        <w:t>.</w:t>
      </w:r>
      <w:r w:rsidR="00815A0A" w:rsidRPr="00507CD9">
        <w:rPr>
          <w:rFonts w:ascii="Verdana" w:hAnsi="Verdana"/>
          <w:sz w:val="18"/>
          <w:szCs w:val="18"/>
        </w:rPr>
        <w:t xml:space="preserve"> Both situation</w:t>
      </w:r>
      <w:r w:rsidR="00815A0A" w:rsidRPr="00507CD9">
        <w:rPr>
          <w:rFonts w:ascii="Verdana" w:eastAsia="Verdana" w:hAnsi="Verdana"/>
          <w:bCs/>
          <w:sz w:val="18"/>
          <w:szCs w:val="18"/>
        </w:rPr>
        <w:t>s may lead to bias</w:t>
      </w:r>
      <w:r w:rsidR="00C73A52">
        <w:rPr>
          <w:rFonts w:ascii="Verdana" w:eastAsia="Verdana" w:hAnsi="Verdana"/>
          <w:bCs/>
          <w:sz w:val="18"/>
          <w:szCs w:val="18"/>
        </w:rPr>
        <w:t>.</w:t>
      </w:r>
      <w:r w:rsidR="00815A0A" w:rsidRPr="00507CD9">
        <w:rPr>
          <w:rFonts w:ascii="Verdana" w:eastAsia="Verdana" w:hAnsi="Verdana"/>
          <w:bCs/>
          <w:sz w:val="18"/>
          <w:szCs w:val="18"/>
        </w:rPr>
        <w:t xml:space="preserve"> </w:t>
      </w:r>
      <w:r w:rsidR="00C73A52">
        <w:rPr>
          <w:rFonts w:ascii="Verdana" w:eastAsia="Verdana" w:hAnsi="Verdana"/>
          <w:bCs/>
          <w:sz w:val="18"/>
          <w:szCs w:val="18"/>
        </w:rPr>
        <w:t>The</w:t>
      </w:r>
      <w:r w:rsidR="00815A0A" w:rsidRPr="00507CD9">
        <w:rPr>
          <w:rFonts w:ascii="Verdana" w:eastAsia="Verdana" w:hAnsi="Verdana"/>
          <w:bCs/>
          <w:sz w:val="18"/>
          <w:szCs w:val="18"/>
        </w:rPr>
        <w:t xml:space="preserve"> solution </w:t>
      </w:r>
      <w:r w:rsidR="0078105B" w:rsidRPr="00507CD9">
        <w:rPr>
          <w:rFonts w:ascii="Verdana" w:eastAsia="Verdana" w:hAnsi="Verdana"/>
          <w:bCs/>
          <w:sz w:val="18"/>
          <w:szCs w:val="18"/>
        </w:rPr>
        <w:t xml:space="preserve">is to use </w:t>
      </w:r>
      <w:r w:rsidR="0078105B" w:rsidRPr="00507CD9">
        <w:rPr>
          <w:rFonts w:ascii="Verdana" w:eastAsia="Times New Roman" w:hAnsi="Verdana"/>
          <w:sz w:val="18"/>
          <w:szCs w:val="18"/>
        </w:rPr>
        <w:t>a time-dependent definition of exposure that properly classifies th</w:t>
      </w:r>
      <w:r w:rsidR="00A86966" w:rsidRPr="00507CD9">
        <w:rPr>
          <w:rFonts w:ascii="Verdana" w:eastAsia="Times New Roman" w:hAnsi="Verdana"/>
          <w:sz w:val="18"/>
          <w:szCs w:val="18"/>
        </w:rPr>
        <w:t>e</w:t>
      </w:r>
      <w:r w:rsidR="0078105B" w:rsidRPr="00507CD9">
        <w:rPr>
          <w:rFonts w:ascii="Verdana" w:eastAsia="Times New Roman" w:hAnsi="Verdana"/>
          <w:sz w:val="18"/>
          <w:szCs w:val="18"/>
        </w:rPr>
        <w:t xml:space="preserve"> immortal person-time as unexposed until the start of drug use and exposed thereafter. </w:t>
      </w:r>
      <w:r w:rsidR="00B34792" w:rsidRPr="00507CD9">
        <w:rPr>
          <w:rFonts w:ascii="Verdana" w:eastAsia="Times New Roman" w:hAnsi="Verdana"/>
          <w:sz w:val="18"/>
          <w:szCs w:val="18"/>
        </w:rPr>
        <w:t>In nested case</w:t>
      </w:r>
      <w:r w:rsidR="00D00796" w:rsidRPr="00507CD9">
        <w:rPr>
          <w:rFonts w:ascii="Verdana" w:eastAsia="Times New Roman" w:hAnsi="Verdana"/>
          <w:sz w:val="18"/>
          <w:szCs w:val="18"/>
        </w:rPr>
        <w:t xml:space="preserve">-control studies, a same person may therefore contribute to </w:t>
      </w:r>
      <w:r w:rsidR="00D00796" w:rsidRPr="00A3591A">
        <w:rPr>
          <w:rFonts w:ascii="Verdana" w:eastAsia="Times New Roman" w:hAnsi="Verdana"/>
          <w:sz w:val="18"/>
          <w:szCs w:val="18"/>
        </w:rPr>
        <w:t xml:space="preserve">both exposed and non-exposed person-time. </w:t>
      </w:r>
    </w:p>
    <w:p w:rsidR="002015AB" w:rsidRPr="00A3591A" w:rsidRDefault="00D64049" w:rsidP="00BD0687">
      <w:pPr>
        <w:pStyle w:val="Listenabsatz"/>
        <w:numPr>
          <w:ilvl w:val="0"/>
          <w:numId w:val="31"/>
        </w:numPr>
        <w:shd w:val="clear" w:color="auto" w:fill="FFFFFF"/>
        <w:spacing w:after="140" w:line="280" w:lineRule="exact"/>
        <w:contextualSpacing w:val="0"/>
        <w:rPr>
          <w:rFonts w:ascii="Verdana" w:eastAsia="Times New Roman" w:hAnsi="Verdana"/>
          <w:sz w:val="18"/>
          <w:szCs w:val="18"/>
        </w:rPr>
      </w:pPr>
      <w:r w:rsidRPr="00A3591A">
        <w:rPr>
          <w:rFonts w:ascii="Verdana" w:eastAsia="Times New Roman" w:hAnsi="Verdana"/>
          <w:sz w:val="18"/>
          <w:szCs w:val="18"/>
        </w:rPr>
        <w:t xml:space="preserve">Two other situations </w:t>
      </w:r>
      <w:r>
        <w:rPr>
          <w:rFonts w:ascii="Verdana" w:eastAsia="Times New Roman" w:hAnsi="Verdana"/>
          <w:sz w:val="18"/>
          <w:szCs w:val="18"/>
        </w:rPr>
        <w:t>merit consideration</w:t>
      </w:r>
      <w:r w:rsidRPr="00A3591A">
        <w:rPr>
          <w:rFonts w:ascii="Verdana" w:eastAsia="Times New Roman" w:hAnsi="Verdana"/>
          <w:sz w:val="18"/>
          <w:szCs w:val="18"/>
        </w:rPr>
        <w:t>:</w:t>
      </w:r>
    </w:p>
    <w:p w:rsidR="0002310D" w:rsidRPr="0029175B" w:rsidRDefault="00D64049" w:rsidP="006524D9">
      <w:pPr>
        <w:pStyle w:val="Listenabsatz"/>
        <w:numPr>
          <w:ilvl w:val="1"/>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 xml:space="preserve">use of a comparative non-exposure group from outside the registry, for example </w:t>
      </w:r>
      <w:r w:rsidR="00D40F2D" w:rsidRPr="0029175B">
        <w:rPr>
          <w:rFonts w:ascii="Verdana" w:eastAsia="Times New Roman" w:hAnsi="Verdana"/>
          <w:sz w:val="18"/>
          <w:szCs w:val="18"/>
        </w:rPr>
        <w:t>another registry or from electronic health care records in a country/region where the drug has not yet been marketed; in this case,</w:t>
      </w:r>
      <w:r w:rsidR="002F0224" w:rsidRPr="0029175B">
        <w:rPr>
          <w:rFonts w:ascii="Verdana" w:eastAsia="Times New Roman" w:hAnsi="Verdana"/>
          <w:sz w:val="18"/>
          <w:szCs w:val="18"/>
        </w:rPr>
        <w:t xml:space="preserve"> </w:t>
      </w:r>
      <w:r w:rsidR="00D40F2D" w:rsidRPr="0029175B">
        <w:rPr>
          <w:rFonts w:ascii="Verdana" w:eastAsia="Times New Roman" w:hAnsi="Verdana"/>
          <w:sz w:val="18"/>
          <w:szCs w:val="18"/>
        </w:rPr>
        <w:t>considerations should be given to</w:t>
      </w:r>
      <w:r w:rsidR="00862B5C">
        <w:rPr>
          <w:rFonts w:ascii="Verdana" w:eastAsia="Times New Roman" w:hAnsi="Verdana"/>
          <w:sz w:val="18"/>
          <w:szCs w:val="18"/>
        </w:rPr>
        <w:t>:</w:t>
      </w:r>
      <w:r w:rsidR="00D40F2D" w:rsidRPr="0029175B">
        <w:rPr>
          <w:rFonts w:ascii="Verdana" w:eastAsia="Times New Roman" w:hAnsi="Verdana"/>
          <w:sz w:val="18"/>
          <w:szCs w:val="18"/>
        </w:rPr>
        <w:t xml:space="preserve"> </w:t>
      </w:r>
    </w:p>
    <w:p w:rsidR="0002310D" w:rsidRPr="0029175B" w:rsidRDefault="00D64049" w:rsidP="006524D9">
      <w:pPr>
        <w:pStyle w:val="Listenabsatz"/>
        <w:numPr>
          <w:ilvl w:val="2"/>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 xml:space="preserve">correctly define a comparable index date of entry into the study in both groups, </w:t>
      </w:r>
    </w:p>
    <w:p w:rsidR="0002310D" w:rsidRPr="0029175B" w:rsidRDefault="00D64049" w:rsidP="006524D9">
      <w:pPr>
        <w:pStyle w:val="Listenabsatz"/>
        <w:numPr>
          <w:ilvl w:val="2"/>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correctly account for exposure periods to different drugs</w:t>
      </w:r>
      <w:r w:rsidR="006B7EEA">
        <w:rPr>
          <w:rFonts w:ascii="Verdana" w:eastAsia="Times New Roman" w:hAnsi="Verdana"/>
          <w:sz w:val="18"/>
          <w:szCs w:val="18"/>
        </w:rPr>
        <w:t>,</w:t>
      </w:r>
      <w:r w:rsidRPr="0029175B">
        <w:rPr>
          <w:rFonts w:ascii="Verdana" w:eastAsia="Times New Roman" w:hAnsi="Verdana"/>
          <w:sz w:val="18"/>
          <w:szCs w:val="18"/>
        </w:rPr>
        <w:t xml:space="preserve"> and </w:t>
      </w:r>
    </w:p>
    <w:p w:rsidR="0083743C" w:rsidRPr="0029175B" w:rsidRDefault="00D64049" w:rsidP="006524D9">
      <w:pPr>
        <w:pStyle w:val="Listenabsatz"/>
        <w:numPr>
          <w:ilvl w:val="2"/>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 xml:space="preserve">collect </w:t>
      </w:r>
      <w:r w:rsidR="002F0224" w:rsidRPr="0029175B">
        <w:rPr>
          <w:rFonts w:ascii="Verdana" w:eastAsia="Times New Roman" w:hAnsi="Verdana"/>
          <w:sz w:val="18"/>
          <w:szCs w:val="18"/>
        </w:rPr>
        <w:t xml:space="preserve">data on </w:t>
      </w:r>
      <w:r w:rsidR="00E46B11" w:rsidRPr="0029175B">
        <w:rPr>
          <w:rFonts w:ascii="Verdana" w:eastAsia="Times New Roman" w:hAnsi="Verdana"/>
          <w:sz w:val="18"/>
          <w:szCs w:val="18"/>
        </w:rPr>
        <w:t>determinants of exposure to different drugs and</w:t>
      </w:r>
      <w:r w:rsidR="00862B5C">
        <w:rPr>
          <w:rFonts w:ascii="Verdana" w:eastAsia="Times New Roman" w:hAnsi="Verdana"/>
          <w:sz w:val="18"/>
          <w:szCs w:val="18"/>
        </w:rPr>
        <w:t>,</w:t>
      </w:r>
      <w:r w:rsidRPr="0029175B">
        <w:rPr>
          <w:rFonts w:ascii="Verdana" w:eastAsia="Times New Roman" w:hAnsi="Verdana"/>
          <w:sz w:val="18"/>
          <w:szCs w:val="18"/>
        </w:rPr>
        <w:t xml:space="preserve"> </w:t>
      </w:r>
      <w:r w:rsidR="00E86E7F" w:rsidRPr="0029175B">
        <w:rPr>
          <w:rFonts w:ascii="Verdana" w:eastAsia="Times New Roman" w:hAnsi="Verdana"/>
          <w:sz w:val="18"/>
          <w:szCs w:val="18"/>
        </w:rPr>
        <w:t>if relevant</w:t>
      </w:r>
      <w:r w:rsidR="00862B5C">
        <w:rPr>
          <w:rFonts w:ascii="Verdana" w:eastAsia="Times New Roman" w:hAnsi="Verdana"/>
          <w:sz w:val="18"/>
          <w:szCs w:val="18"/>
        </w:rPr>
        <w:t>,</w:t>
      </w:r>
      <w:r w:rsidR="00E46B11" w:rsidRPr="0029175B">
        <w:rPr>
          <w:rFonts w:ascii="Verdana" w:eastAsia="Times New Roman" w:hAnsi="Verdana"/>
          <w:sz w:val="18"/>
          <w:szCs w:val="18"/>
        </w:rPr>
        <w:t xml:space="preserve"> of inclusion into two different data collection systems.</w:t>
      </w:r>
    </w:p>
    <w:p w:rsidR="00C34AB8" w:rsidRPr="00DF6C07" w:rsidRDefault="00D64049" w:rsidP="006845EF">
      <w:pPr>
        <w:pStyle w:val="Listenabsatz"/>
        <w:numPr>
          <w:ilvl w:val="1"/>
          <w:numId w:val="21"/>
        </w:numPr>
        <w:shd w:val="clear" w:color="auto" w:fill="FFFFFF"/>
        <w:spacing w:after="140" w:line="280" w:lineRule="exact"/>
        <w:contextualSpacing w:val="0"/>
        <w:rPr>
          <w:rFonts w:ascii="Verdana" w:eastAsia="Times New Roman" w:hAnsi="Verdana"/>
          <w:sz w:val="18"/>
          <w:szCs w:val="18"/>
        </w:rPr>
      </w:pPr>
      <w:r w:rsidRPr="00DF6C07">
        <w:rPr>
          <w:rFonts w:ascii="Verdana" w:eastAsia="Times New Roman" w:hAnsi="Verdana"/>
          <w:sz w:val="18"/>
          <w:szCs w:val="18"/>
        </w:rPr>
        <w:t>use of historical controls wh</w:t>
      </w:r>
      <w:r w:rsidR="001A5B81" w:rsidRPr="00DF6C07">
        <w:rPr>
          <w:rFonts w:ascii="Verdana" w:eastAsia="Times New Roman" w:hAnsi="Verdana"/>
          <w:sz w:val="18"/>
          <w:szCs w:val="18"/>
        </w:rPr>
        <w:t>o were enrolled in the registry at the time where the new treatment did not exist yet</w:t>
      </w:r>
      <w:r w:rsidR="00D00796" w:rsidRPr="00DF6C07">
        <w:rPr>
          <w:rFonts w:ascii="Verdana" w:eastAsia="Times New Roman" w:hAnsi="Verdana"/>
          <w:sz w:val="18"/>
          <w:szCs w:val="18"/>
        </w:rPr>
        <w:t>; in addition to the above-mentioned aspects,</w:t>
      </w:r>
      <w:r w:rsidR="00BE3510" w:rsidRPr="00DF6C07">
        <w:rPr>
          <w:rFonts w:ascii="Verdana" w:eastAsia="Times New Roman" w:hAnsi="Verdana"/>
          <w:sz w:val="18"/>
          <w:szCs w:val="18"/>
        </w:rPr>
        <w:t xml:space="preserve"> one should </w:t>
      </w:r>
      <w:r w:rsidR="00020459" w:rsidRPr="00DF6C07">
        <w:rPr>
          <w:rFonts w:ascii="Verdana" w:eastAsia="Times New Roman" w:hAnsi="Verdana"/>
          <w:sz w:val="18"/>
          <w:szCs w:val="18"/>
        </w:rPr>
        <w:t xml:space="preserve">take into account </w:t>
      </w:r>
      <w:r w:rsidR="006845EF" w:rsidRPr="00DF6C07">
        <w:rPr>
          <w:rFonts w:ascii="Verdana" w:eastAsia="Times New Roman" w:hAnsi="Verdana"/>
          <w:sz w:val="18"/>
          <w:szCs w:val="18"/>
        </w:rPr>
        <w:t>t</w:t>
      </w:r>
      <w:r w:rsidR="006845EF" w:rsidRPr="006E7959">
        <w:rPr>
          <w:rFonts w:ascii="Verdana" w:hAnsi="Verdana"/>
          <w:sz w:val="18"/>
          <w:szCs w:val="18"/>
        </w:rPr>
        <w:t>he historical time period, the best therapeutic approaches existing in that period and secular trends in the occurrence of important events in the study</w:t>
      </w:r>
      <w:r w:rsidR="00020459" w:rsidRPr="00DF6C07">
        <w:rPr>
          <w:rFonts w:ascii="Verdana" w:eastAsia="Times New Roman" w:hAnsi="Verdana"/>
          <w:sz w:val="18"/>
          <w:szCs w:val="18"/>
        </w:rPr>
        <w:t>.</w:t>
      </w:r>
    </w:p>
    <w:p w:rsidR="002A6CEE" w:rsidRPr="0029175B" w:rsidRDefault="00D64049" w:rsidP="00BD0687">
      <w:pPr>
        <w:shd w:val="clear" w:color="auto" w:fill="FFFFFF"/>
        <w:spacing w:after="140" w:line="280" w:lineRule="exact"/>
        <w:rPr>
          <w:rFonts w:eastAsia="Times New Roman"/>
        </w:rPr>
      </w:pPr>
      <w:r w:rsidRPr="0029175B">
        <w:t xml:space="preserve">The </w:t>
      </w:r>
      <w:r w:rsidR="00C8668D" w:rsidRPr="0029175B">
        <w:t xml:space="preserve">handling of missing data </w:t>
      </w:r>
      <w:r w:rsidRPr="0029175B">
        <w:t xml:space="preserve">should be described in the </w:t>
      </w:r>
      <w:r w:rsidRPr="00906409">
        <w:t>statistical analysis plan and justification</w:t>
      </w:r>
      <w:r w:rsidR="00235E86" w:rsidRPr="00906409">
        <w:t xml:space="preserve"> </w:t>
      </w:r>
      <w:r w:rsidRPr="00906409">
        <w:t>should be provided for the assumption</w:t>
      </w:r>
      <w:r w:rsidR="00E936DF">
        <w:t>s</w:t>
      </w:r>
      <w:r w:rsidR="00235E86" w:rsidRPr="00906409">
        <w:t xml:space="preserve"> about their distribution</w:t>
      </w:r>
      <w:r w:rsidR="00906409" w:rsidRPr="00906409">
        <w:t>, r</w:t>
      </w:r>
      <w:r w:rsidR="00032C88" w:rsidRPr="006E7959">
        <w:rPr>
          <w:rFonts w:eastAsia="Times New Roman" w:cs="Arial"/>
        </w:rPr>
        <w:t>easons for and timings of missing data and whether missingness is related to treatment assignment or outcome</w:t>
      </w:r>
      <w:r w:rsidR="00906409" w:rsidRPr="006E7959">
        <w:rPr>
          <w:rFonts w:eastAsia="Times New Roman" w:cs="Arial"/>
        </w:rPr>
        <w:t>.</w:t>
      </w:r>
      <w:r w:rsidR="00235E86" w:rsidRPr="00906409">
        <w:t xml:space="preserve"> </w:t>
      </w:r>
      <w:r w:rsidR="00DD4BD7" w:rsidRPr="0029175B">
        <w:t xml:space="preserve">Sensitivity analyses may be proposed to show that conclusions drawn from the data are not sensitive to the particular strategy used to handle missing values. </w:t>
      </w:r>
    </w:p>
    <w:p w:rsidR="00542E9E" w:rsidRPr="0029175B" w:rsidRDefault="00D64049" w:rsidP="005E4BD1">
      <w:pPr>
        <w:pStyle w:val="Heading2Agency"/>
      </w:pPr>
      <w:bookmarkStart w:id="126" w:name="_Toc528934962"/>
      <w:r w:rsidRPr="0029175B">
        <w:t>Safety reporting</w:t>
      </w:r>
      <w:bookmarkEnd w:id="126"/>
    </w:p>
    <w:p w:rsidR="002E0657" w:rsidRPr="0029175B" w:rsidRDefault="00D64049" w:rsidP="002E0657">
      <w:pPr>
        <w:pStyle w:val="Default"/>
        <w:spacing w:after="140" w:line="280" w:lineRule="exact"/>
        <w:rPr>
          <w:sz w:val="18"/>
          <w:szCs w:val="18"/>
          <w:lang w:val="en-GB"/>
        </w:rPr>
      </w:pPr>
      <w:r w:rsidRPr="0029175B">
        <w:rPr>
          <w:sz w:val="18"/>
          <w:szCs w:val="18"/>
          <w:lang w:val="en-GB"/>
        </w:rPr>
        <w:t xml:space="preserve">The legal requirements </w:t>
      </w:r>
      <w:r w:rsidR="00A70F5A">
        <w:rPr>
          <w:sz w:val="18"/>
          <w:szCs w:val="18"/>
          <w:lang w:val="en-GB"/>
        </w:rPr>
        <w:t xml:space="preserve">to MAHs </w:t>
      </w:r>
      <w:r w:rsidRPr="0029175B">
        <w:rPr>
          <w:sz w:val="18"/>
          <w:szCs w:val="18"/>
          <w:lang w:val="en-GB"/>
        </w:rPr>
        <w:t xml:space="preserve">for </w:t>
      </w:r>
      <w:r w:rsidR="00A70F5A">
        <w:rPr>
          <w:sz w:val="18"/>
          <w:szCs w:val="18"/>
          <w:lang w:val="en-GB"/>
        </w:rPr>
        <w:t xml:space="preserve">the </w:t>
      </w:r>
      <w:r w:rsidR="00C73A52">
        <w:rPr>
          <w:sz w:val="18"/>
          <w:szCs w:val="18"/>
          <w:lang w:val="en-GB"/>
        </w:rPr>
        <w:t>reporting</w:t>
      </w:r>
      <w:r w:rsidRPr="0029175B">
        <w:rPr>
          <w:sz w:val="18"/>
          <w:szCs w:val="18"/>
          <w:lang w:val="en-GB"/>
        </w:rPr>
        <w:t xml:space="preserve"> of safety </w:t>
      </w:r>
      <w:r w:rsidR="00C73A52">
        <w:rPr>
          <w:sz w:val="18"/>
          <w:szCs w:val="18"/>
          <w:lang w:val="en-GB"/>
        </w:rPr>
        <w:t>findings</w:t>
      </w:r>
      <w:r w:rsidR="00C73A52" w:rsidRPr="0029175B">
        <w:rPr>
          <w:sz w:val="18"/>
          <w:szCs w:val="18"/>
          <w:lang w:val="en-GB"/>
        </w:rPr>
        <w:t xml:space="preserve"> </w:t>
      </w:r>
      <w:r w:rsidRPr="0029175B">
        <w:rPr>
          <w:sz w:val="18"/>
          <w:szCs w:val="18"/>
          <w:lang w:val="en-GB"/>
        </w:rPr>
        <w:t xml:space="preserve">from non-interventional </w:t>
      </w:r>
      <w:r w:rsidR="00E936DF">
        <w:rPr>
          <w:sz w:val="18"/>
          <w:szCs w:val="18"/>
          <w:lang w:val="en-GB"/>
        </w:rPr>
        <w:t xml:space="preserve">PASS </w:t>
      </w:r>
      <w:r w:rsidRPr="0029175B">
        <w:rPr>
          <w:sz w:val="18"/>
          <w:szCs w:val="18"/>
          <w:lang w:val="en-GB"/>
        </w:rPr>
        <w:t xml:space="preserve">make a distinction between studies with a design based on primary data collection directly from </w:t>
      </w:r>
      <w:r w:rsidR="00E936DF">
        <w:rPr>
          <w:sz w:val="18"/>
          <w:szCs w:val="18"/>
          <w:lang w:val="en-GB"/>
        </w:rPr>
        <w:t>HCPs</w:t>
      </w:r>
      <w:r w:rsidRPr="0029175B">
        <w:rPr>
          <w:sz w:val="18"/>
          <w:szCs w:val="18"/>
          <w:lang w:val="en-GB"/>
        </w:rPr>
        <w:t xml:space="preserve"> or consumers (i.e. </w:t>
      </w:r>
      <w:r w:rsidR="00603B20" w:rsidRPr="0029175B">
        <w:rPr>
          <w:sz w:val="18"/>
          <w:szCs w:val="18"/>
          <w:lang w:val="en-GB"/>
        </w:rPr>
        <w:t>where the events of interest for the study are collected directly from patients as they come to the attention of the investigator</w:t>
      </w:r>
      <w:r w:rsidRPr="0029175B">
        <w:rPr>
          <w:sz w:val="18"/>
          <w:szCs w:val="18"/>
          <w:lang w:val="en-GB"/>
        </w:rPr>
        <w:t xml:space="preserve">), and studies with a design based on secondary use of data </w:t>
      </w:r>
      <w:r w:rsidRPr="0029175B">
        <w:rPr>
          <w:sz w:val="18"/>
          <w:szCs w:val="18"/>
          <w:lang w:val="en-GB"/>
        </w:rPr>
        <w:lastRenderedPageBreak/>
        <w:t>(i.e. where the events of interest have already occurred and have been collected for another purpose</w:t>
      </w:r>
      <w:r w:rsidR="00E43997" w:rsidRPr="0029175B">
        <w:rPr>
          <w:sz w:val="18"/>
          <w:szCs w:val="18"/>
          <w:lang w:val="en-GB"/>
        </w:rPr>
        <w:t>, for example when a registry</w:t>
      </w:r>
      <w:r w:rsidR="00E936DF">
        <w:rPr>
          <w:sz w:val="18"/>
          <w:szCs w:val="18"/>
          <w:lang w:val="en-GB"/>
        </w:rPr>
        <w:t xml:space="preserve"> </w:t>
      </w:r>
      <w:r w:rsidR="00E43997" w:rsidRPr="0029175B">
        <w:rPr>
          <w:sz w:val="18"/>
          <w:szCs w:val="18"/>
          <w:lang w:val="en-GB"/>
        </w:rPr>
        <w:t>study only use data that have already been colle</w:t>
      </w:r>
      <w:r w:rsidR="00E43997" w:rsidRPr="00CE3951">
        <w:rPr>
          <w:sz w:val="18"/>
          <w:szCs w:val="18"/>
          <w:lang w:val="en-GB"/>
        </w:rPr>
        <w:t>cted</w:t>
      </w:r>
      <w:r w:rsidR="00C8668D" w:rsidRPr="00CE3951">
        <w:rPr>
          <w:sz w:val="18"/>
          <w:szCs w:val="18"/>
          <w:lang w:val="en-GB"/>
        </w:rPr>
        <w:t xml:space="preserve"> </w:t>
      </w:r>
      <w:r w:rsidR="000D28B3" w:rsidRPr="006E7959">
        <w:rPr>
          <w:sz w:val="18"/>
          <w:szCs w:val="18"/>
          <w:lang w:val="en-GB"/>
        </w:rPr>
        <w:fldChar w:fldCharType="begin"/>
      </w:r>
      <w:r w:rsidR="005E2E45">
        <w:rPr>
          <w:sz w:val="18"/>
          <w:szCs w:val="18"/>
          <w:lang w:val="en-GB"/>
        </w:rPr>
        <w:instrText xml:space="preserve"> ADDIN ZOTERO_ITEM CSL_CITATION {"citationID":"a128e8bg1bq","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0D28B3" w:rsidRPr="006E7959">
        <w:rPr>
          <w:sz w:val="18"/>
          <w:szCs w:val="18"/>
          <w:lang w:val="en-GB"/>
        </w:rPr>
        <w:fldChar w:fldCharType="separate"/>
      </w:r>
      <w:r w:rsidR="005E2E45" w:rsidRPr="005E2E45">
        <w:rPr>
          <w:sz w:val="18"/>
        </w:rPr>
        <w:t>(21)</w:t>
      </w:r>
      <w:r w:rsidR="000D28B3" w:rsidRPr="006E7959">
        <w:rPr>
          <w:sz w:val="18"/>
          <w:szCs w:val="18"/>
          <w:lang w:val="en-GB"/>
        </w:rPr>
        <w:fldChar w:fldCharType="end"/>
      </w:r>
      <w:r w:rsidRPr="007B5C71">
        <w:rPr>
          <w:sz w:val="18"/>
          <w:szCs w:val="18"/>
          <w:lang w:val="en-GB"/>
        </w:rPr>
        <w:t xml:space="preserve">). </w:t>
      </w:r>
    </w:p>
    <w:p w:rsidR="00020459" w:rsidRPr="0029175B" w:rsidRDefault="00D64049" w:rsidP="004C61EE">
      <w:pPr>
        <w:pStyle w:val="BodytextAgency"/>
        <w:rPr>
          <w:lang w:eastAsia="en-US"/>
        </w:rPr>
      </w:pPr>
      <w:r w:rsidRPr="0029175B">
        <w:rPr>
          <w:lang w:eastAsia="en-US"/>
        </w:rPr>
        <w:t xml:space="preserve">In the </w:t>
      </w:r>
      <w:r w:rsidR="00E43997" w:rsidRPr="0029175B">
        <w:rPr>
          <w:lang w:eastAsia="en-US"/>
        </w:rPr>
        <w:t>case of primary data collection,</w:t>
      </w:r>
      <w:r w:rsidRPr="0029175B">
        <w:rPr>
          <w:lang w:eastAsia="en-US"/>
        </w:rPr>
        <w:t xml:space="preserve"> </w:t>
      </w:r>
      <w:r w:rsidR="002A414D" w:rsidRPr="0029175B">
        <w:rPr>
          <w:lang w:eastAsia="en-US"/>
        </w:rPr>
        <w:t>the following provisions apply to MAHs</w:t>
      </w:r>
      <w:r w:rsidR="002B633E" w:rsidRPr="0029175B">
        <w:rPr>
          <w:lang w:eastAsia="en-US"/>
        </w:rPr>
        <w:t xml:space="preserve"> (see also Table VI.1 of </w:t>
      </w:r>
      <w:r w:rsidR="00E936DF">
        <w:rPr>
          <w:lang w:eastAsia="en-US"/>
        </w:rPr>
        <w:t xml:space="preserve">GVP </w:t>
      </w:r>
      <w:r w:rsidR="002B633E" w:rsidRPr="0029175B">
        <w:rPr>
          <w:lang w:eastAsia="en-US"/>
        </w:rPr>
        <w:t xml:space="preserve">Module VI </w:t>
      </w:r>
      <w:r w:rsidR="007A095E" w:rsidRPr="0029175B">
        <w:rPr>
          <w:lang w:eastAsia="en-US"/>
        </w:rPr>
        <w:fldChar w:fldCharType="begin"/>
      </w:r>
      <w:r w:rsidR="005E2E45">
        <w:rPr>
          <w:lang w:eastAsia="en-US"/>
        </w:rPr>
        <w:instrText xml:space="preserve"> ADDIN ZOTERO_ITEM CSL_CITATION {"citationID":"a1bjhf3vbq9","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7A095E" w:rsidRPr="0029175B">
        <w:rPr>
          <w:lang w:eastAsia="en-US"/>
        </w:rPr>
        <w:fldChar w:fldCharType="separate"/>
      </w:r>
      <w:r w:rsidR="005E2E45" w:rsidRPr="005E2E45">
        <w:t>(21)</w:t>
      </w:r>
      <w:r w:rsidR="007A095E" w:rsidRPr="0029175B">
        <w:rPr>
          <w:lang w:eastAsia="en-US"/>
        </w:rPr>
        <w:fldChar w:fldCharType="end"/>
      </w:r>
      <w:r w:rsidR="002B633E" w:rsidRPr="0029175B">
        <w:rPr>
          <w:lang w:eastAsia="en-US"/>
        </w:rPr>
        <w:t>)</w:t>
      </w:r>
      <w:r w:rsidR="002A414D" w:rsidRPr="0029175B">
        <w:rPr>
          <w:lang w:eastAsia="en-US"/>
        </w:rPr>
        <w:t>:</w:t>
      </w:r>
    </w:p>
    <w:p w:rsidR="002A414D" w:rsidRPr="0029175B" w:rsidRDefault="00D64049" w:rsidP="002A414D">
      <w:pPr>
        <w:pStyle w:val="BodytextAgency"/>
        <w:numPr>
          <w:ilvl w:val="0"/>
          <w:numId w:val="25"/>
        </w:numPr>
        <w:rPr>
          <w:lang w:eastAsia="en-US"/>
        </w:rPr>
      </w:pPr>
      <w:r w:rsidRPr="0029175B">
        <w:t xml:space="preserve">Information on all adverse events should be collected and recorded from </w:t>
      </w:r>
      <w:r w:rsidR="00E936DF">
        <w:t>HCPs</w:t>
      </w:r>
      <w:r w:rsidRPr="0029175B">
        <w:t xml:space="preserve"> or consumers in the course of the study unless the protocol provides with a due justification for not collecting certain adverse events.</w:t>
      </w:r>
    </w:p>
    <w:p w:rsidR="002A414D" w:rsidRPr="0029175B" w:rsidRDefault="00D64049" w:rsidP="002A414D">
      <w:pPr>
        <w:pStyle w:val="BodytextAgency"/>
        <w:numPr>
          <w:ilvl w:val="0"/>
          <w:numId w:val="25"/>
        </w:numPr>
        <w:rPr>
          <w:lang w:eastAsia="en-US"/>
        </w:rPr>
      </w:pPr>
      <w:r w:rsidRPr="0029175B">
        <w:t xml:space="preserve">Cases of adverse reactions, which are suspected to be related to the studied medicinal product by the </w:t>
      </w:r>
      <w:r w:rsidR="00E936DF">
        <w:t>HCP</w:t>
      </w:r>
      <w:r w:rsidRPr="0029175B">
        <w:t xml:space="preserve">, the consumer or the MAH should be recorded and submitted as </w:t>
      </w:r>
      <w:r w:rsidR="00AE6FB4" w:rsidRPr="0029175B">
        <w:t>ICSRs</w:t>
      </w:r>
      <w:r w:rsidRPr="0029175B">
        <w:t xml:space="preserve"> to the </w:t>
      </w:r>
      <w:r w:rsidR="006A02BE" w:rsidRPr="0029175B">
        <w:t>EudraVigilance database.</w:t>
      </w:r>
    </w:p>
    <w:p w:rsidR="00266940" w:rsidRPr="0029175B" w:rsidRDefault="00D64049" w:rsidP="002A414D">
      <w:pPr>
        <w:pStyle w:val="BodytextAgency"/>
        <w:numPr>
          <w:ilvl w:val="0"/>
          <w:numId w:val="25"/>
        </w:numPr>
        <w:rPr>
          <w:lang w:eastAsia="en-US"/>
        </w:rPr>
      </w:pPr>
      <w:r w:rsidRPr="0029175B">
        <w:t xml:space="preserve">All fatal outcomes should be considered as adverse events which should be collected. In certain circumstances, suspected </w:t>
      </w:r>
      <w:r w:rsidR="00AD005A">
        <w:t>adverse reaction</w:t>
      </w:r>
      <w:r w:rsidRPr="0029175B">
        <w:t xml:space="preserve"> with fatal outcome may not be subject to submission as ICSRs, for example because they refer to study outcomes (efficacy end points), because the patients included in the study have a disease with high mortality, or because the fatal outcomes have no relation to the objective of the study. For these particular situations, the rationale for not submitting as ICSRs certain </w:t>
      </w:r>
      <w:r w:rsidR="00AD005A">
        <w:t>adverse reactions</w:t>
      </w:r>
      <w:r w:rsidRPr="0029175B">
        <w:t xml:space="preserve"> with fatal outcome should be clearly described in the protocol together with a list using the appropriate level of the MedDRA classification</w:t>
      </w:r>
      <w:r w:rsidR="00AE6FB4" w:rsidRPr="0029175B">
        <w:t>.</w:t>
      </w:r>
    </w:p>
    <w:p w:rsidR="001A5930" w:rsidRPr="0029175B" w:rsidRDefault="00D64049" w:rsidP="002A414D">
      <w:pPr>
        <w:pStyle w:val="BodytextAgency"/>
        <w:numPr>
          <w:ilvl w:val="0"/>
          <w:numId w:val="25"/>
        </w:numPr>
        <w:rPr>
          <w:lang w:eastAsia="en-US"/>
        </w:rPr>
      </w:pPr>
      <w:r w:rsidRPr="0029175B">
        <w:t>All adverse events collected during the study should be summarised in the interim safety analysis and in the final study report.</w:t>
      </w:r>
    </w:p>
    <w:p w:rsidR="001A5930" w:rsidRPr="0029175B" w:rsidRDefault="00D64049" w:rsidP="002A414D">
      <w:pPr>
        <w:pStyle w:val="BodytextAgency"/>
        <w:numPr>
          <w:ilvl w:val="0"/>
          <w:numId w:val="25"/>
        </w:numPr>
        <w:rPr>
          <w:lang w:eastAsia="en-US"/>
        </w:rPr>
      </w:pPr>
      <w:r w:rsidRPr="0029175B">
        <w:t>For adverse events specified in the study protocol which are not systematically collected, healthcare professionals and consumers should be informed in the protocol (or other study documents) of the possibility to report adverse reactions (for which they suspect a causal role of a medicine) to the marketing authorisation holder of the suspected medicinal product</w:t>
      </w:r>
      <w:r w:rsidR="00E86E7F" w:rsidRPr="0029175B">
        <w:t>,</w:t>
      </w:r>
      <w:r w:rsidRPr="0029175B">
        <w:t xml:space="preserve"> or to the concerned competent authority via the national spontaneous reporting system. Where made aware of them, these reports should also be summarised in the relevant study reports by the MAH. </w:t>
      </w:r>
    </w:p>
    <w:p w:rsidR="00724550" w:rsidRPr="0029175B" w:rsidRDefault="00D64049" w:rsidP="00724550">
      <w:pPr>
        <w:pStyle w:val="BodytextAgency"/>
        <w:rPr>
          <w:lang w:eastAsia="en-US"/>
        </w:rPr>
      </w:pPr>
      <w:r w:rsidRPr="0029175B">
        <w:rPr>
          <w:lang w:eastAsia="en-US"/>
        </w:rPr>
        <w:t xml:space="preserve">In the case of secondary data collection, </w:t>
      </w:r>
      <w:r w:rsidRPr="0029175B">
        <w:t xml:space="preserve">the submission of suspected </w:t>
      </w:r>
      <w:r w:rsidR="00AD005A">
        <w:t>adverse reactions</w:t>
      </w:r>
      <w:r w:rsidRPr="0029175B">
        <w:t xml:space="preserve"> in the form of ICSRs is not required. All adverse events/reactions collected for the study should be recorded and summarised in the interim safety analysis and in the final study report unless the protocol provides for different reporting with a due justification.</w:t>
      </w:r>
    </w:p>
    <w:p w:rsidR="00724550" w:rsidRPr="0029175B" w:rsidRDefault="00D64049" w:rsidP="004C61EE">
      <w:pPr>
        <w:pStyle w:val="BodytextAgency"/>
        <w:rPr>
          <w:lang w:eastAsia="en-US"/>
        </w:rPr>
      </w:pPr>
      <w:r w:rsidRPr="0029175B">
        <w:rPr>
          <w:lang w:eastAsia="en-US"/>
        </w:rPr>
        <w:t xml:space="preserve">Assessment of adverse events to identify suspected cases of </w:t>
      </w:r>
      <w:r w:rsidR="00AD005A">
        <w:rPr>
          <w:lang w:eastAsia="en-US"/>
        </w:rPr>
        <w:t>adverse reactions</w:t>
      </w:r>
      <w:r w:rsidRPr="0029175B">
        <w:rPr>
          <w:lang w:eastAsia="en-US"/>
        </w:rPr>
        <w:t xml:space="preserve"> may represent a complex task </w:t>
      </w:r>
      <w:r w:rsidR="00310E17" w:rsidRPr="0029175B">
        <w:rPr>
          <w:lang w:eastAsia="en-US"/>
        </w:rPr>
        <w:t xml:space="preserve">requiring knowledge of the safety profile, pharmacology and pharmacodynamic properties of the concerned product. This task </w:t>
      </w:r>
      <w:r w:rsidR="00A5634F">
        <w:rPr>
          <w:lang w:eastAsia="en-US"/>
        </w:rPr>
        <w:t>may be</w:t>
      </w:r>
      <w:r w:rsidR="00A5634F" w:rsidRPr="0029175B">
        <w:rPr>
          <w:lang w:eastAsia="en-US"/>
        </w:rPr>
        <w:t xml:space="preserve"> </w:t>
      </w:r>
      <w:r w:rsidR="00310E17" w:rsidRPr="0029175B">
        <w:rPr>
          <w:lang w:eastAsia="en-US"/>
        </w:rPr>
        <w:t xml:space="preserve">difficult to perform in the context of routine registry </w:t>
      </w:r>
      <w:r w:rsidR="00BE2379" w:rsidRPr="0029175B">
        <w:rPr>
          <w:lang w:eastAsia="en-US"/>
        </w:rPr>
        <w:t>activities</w:t>
      </w:r>
      <w:r w:rsidR="00310E17" w:rsidRPr="0029175B">
        <w:rPr>
          <w:lang w:eastAsia="en-US"/>
        </w:rPr>
        <w:t xml:space="preserve">. </w:t>
      </w:r>
      <w:r w:rsidR="008E1F2A" w:rsidRPr="0029175B">
        <w:rPr>
          <w:lang w:eastAsia="en-US"/>
        </w:rPr>
        <w:t xml:space="preserve">In case of primary data collection, the concerned MAH(s) should therefore </w:t>
      </w:r>
      <w:r w:rsidR="006B7EEA">
        <w:rPr>
          <w:lang w:eastAsia="en-US"/>
        </w:rPr>
        <w:t>have</w:t>
      </w:r>
      <w:r w:rsidR="008E1F2A" w:rsidRPr="0029175B">
        <w:rPr>
          <w:lang w:eastAsia="en-US"/>
        </w:rPr>
        <w:t xml:space="preserve"> in place a specific data collection or electronic system to collect, analyse and report if applicable information on the adverse event notified by a </w:t>
      </w:r>
      <w:r w:rsidR="00E936DF">
        <w:rPr>
          <w:lang w:eastAsia="en-US"/>
        </w:rPr>
        <w:t>HCP</w:t>
      </w:r>
      <w:r w:rsidR="008E1F2A" w:rsidRPr="0029175B">
        <w:rPr>
          <w:lang w:eastAsia="en-US"/>
        </w:rPr>
        <w:t xml:space="preserve"> or a patient.</w:t>
      </w:r>
    </w:p>
    <w:p w:rsidR="004C61EE" w:rsidRPr="0029175B" w:rsidRDefault="00D64049" w:rsidP="004C61EE">
      <w:pPr>
        <w:pStyle w:val="BodytextAgency"/>
        <w:rPr>
          <w:lang w:eastAsia="en-US"/>
        </w:rPr>
      </w:pPr>
      <w:r w:rsidRPr="0029175B">
        <w:rPr>
          <w:lang w:eastAsia="en-US"/>
        </w:rPr>
        <w:t xml:space="preserve">The safety analysis </w:t>
      </w:r>
      <w:r w:rsidR="002A6CEE" w:rsidRPr="0029175B">
        <w:rPr>
          <w:lang w:eastAsia="en-US"/>
        </w:rPr>
        <w:t xml:space="preserve">in the final report is </w:t>
      </w:r>
      <w:r w:rsidRPr="0029175B">
        <w:rPr>
          <w:lang w:eastAsia="en-US"/>
        </w:rPr>
        <w:t xml:space="preserve">descriptive </w:t>
      </w:r>
      <w:r w:rsidR="002A6CEE" w:rsidRPr="0029175B">
        <w:rPr>
          <w:lang w:eastAsia="en-US"/>
        </w:rPr>
        <w:t>and includes</w:t>
      </w:r>
      <w:r w:rsidRPr="0029175B">
        <w:rPr>
          <w:lang w:eastAsia="en-US"/>
        </w:rPr>
        <w:t xml:space="preserve"> summary statistics. </w:t>
      </w:r>
      <w:r w:rsidR="00215300" w:rsidRPr="0029175B">
        <w:rPr>
          <w:lang w:eastAsia="en-US"/>
        </w:rPr>
        <w:t>Registry coordinators should also receive the results of the safety analysis even if this analysis was carried-out by the MAH.</w:t>
      </w:r>
      <w:r w:rsidR="00BE2379" w:rsidRPr="0029175B">
        <w:rPr>
          <w:lang w:eastAsia="en-US"/>
        </w:rPr>
        <w:t xml:space="preserve"> A summary of suspected </w:t>
      </w:r>
      <w:r w:rsidR="00AD005A">
        <w:rPr>
          <w:lang w:eastAsia="en-US"/>
        </w:rPr>
        <w:t>adverse reactions</w:t>
      </w:r>
      <w:r w:rsidR="00AD005A" w:rsidRPr="0029175B">
        <w:rPr>
          <w:lang w:eastAsia="en-US"/>
        </w:rPr>
        <w:t xml:space="preserve"> </w:t>
      </w:r>
      <w:r w:rsidR="00BE2379" w:rsidRPr="0029175B">
        <w:rPr>
          <w:lang w:eastAsia="en-US"/>
        </w:rPr>
        <w:t xml:space="preserve">should also be included by the MAH in </w:t>
      </w:r>
      <w:r w:rsidR="004209A0" w:rsidRPr="0029175B">
        <w:rPr>
          <w:lang w:eastAsia="en-US"/>
        </w:rPr>
        <w:t>PSURs</w:t>
      </w:r>
      <w:r w:rsidR="00BE2379" w:rsidRPr="0029175B">
        <w:rPr>
          <w:lang w:eastAsia="en-US"/>
        </w:rPr>
        <w:t xml:space="preserve"> of the concerned product.</w:t>
      </w:r>
    </w:p>
    <w:p w:rsidR="00C8668D" w:rsidRPr="0029175B" w:rsidRDefault="00D64049" w:rsidP="004C61EE">
      <w:pPr>
        <w:pStyle w:val="BodytextAgency"/>
      </w:pPr>
      <w:r w:rsidRPr="0029175B">
        <w:rPr>
          <w:lang w:eastAsia="en-US"/>
        </w:rPr>
        <w:lastRenderedPageBreak/>
        <w:t xml:space="preserve">In all situations, investigators of </w:t>
      </w:r>
      <w:r w:rsidR="00215300" w:rsidRPr="0029175B">
        <w:rPr>
          <w:lang w:eastAsia="en-US"/>
        </w:rPr>
        <w:t>registry studies should be informed of the mechanisms allowing them to report at any time to the national pharmacovigilance system of any adverse event or suspected adverse reaction occurring during the course of the study.</w:t>
      </w:r>
    </w:p>
    <w:p w:rsidR="00AD4CBC" w:rsidRPr="0029175B" w:rsidRDefault="00D64049" w:rsidP="000A46CE">
      <w:pPr>
        <w:pStyle w:val="Heading2Agency"/>
      </w:pPr>
      <w:bookmarkStart w:id="127" w:name="_Toc528934963"/>
      <w:r w:rsidRPr="0029175B">
        <w:t>Reporting</w:t>
      </w:r>
      <w:r w:rsidR="00215300" w:rsidRPr="0029175B">
        <w:t xml:space="preserve"> of </w:t>
      </w:r>
      <w:r w:rsidR="005E4BD1" w:rsidRPr="0029175B">
        <w:t xml:space="preserve">study </w:t>
      </w:r>
      <w:r w:rsidR="00215300" w:rsidRPr="0029175B">
        <w:t>results</w:t>
      </w:r>
      <w:bookmarkEnd w:id="127"/>
    </w:p>
    <w:p w:rsidR="0053018F" w:rsidRPr="0029175B" w:rsidRDefault="00D64049" w:rsidP="001134DB">
      <w:pPr>
        <w:pStyle w:val="BodytextAgency"/>
      </w:pPr>
      <w:r>
        <w:t>Whilst</w:t>
      </w:r>
      <w:r w:rsidR="002A3CEF" w:rsidRPr="002A3CEF">
        <w:t xml:space="preserve"> </w:t>
      </w:r>
      <w:r>
        <w:t xml:space="preserve">the </w:t>
      </w:r>
      <w:r w:rsidR="002A3CEF" w:rsidRPr="002A3CEF">
        <w:t xml:space="preserve">ENCePP Code of Conduct </w:t>
      </w:r>
      <w:r w:rsidR="00FD3661">
        <w:fldChar w:fldCharType="begin"/>
      </w:r>
      <w:r w:rsidR="005E2E45">
        <w:instrText xml:space="preserve"> ADDIN ZOTERO_ITEM CSL_CITATION {"citationID":"a16kge4p3d6","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FD3661">
        <w:fldChar w:fldCharType="separate"/>
      </w:r>
      <w:r w:rsidR="005E2E45" w:rsidRPr="005E2E45">
        <w:t>(15)</w:t>
      </w:r>
      <w:r w:rsidR="00FD3661">
        <w:fldChar w:fldCharType="end"/>
      </w:r>
      <w:r w:rsidR="002A3CEF" w:rsidRPr="002A3CEF">
        <w:t xml:space="preserve"> and the ADVANCE Code of Conduct for vaccines </w:t>
      </w:r>
      <w:r w:rsidR="00FD3661">
        <w:fldChar w:fldCharType="begin"/>
      </w:r>
      <w:r w:rsidR="00861617">
        <w:instrText xml:space="preserve"> ADDIN ZOTERO_ITEM CSL_CITATION {"citationID":"abopth7dbk","properties":{"formattedCitation":"(29)","plainCitation":"(29)","dontUpdate":true},"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FD3661">
        <w:fldChar w:fldCharType="separate"/>
      </w:r>
      <w:r w:rsidR="00FD3661" w:rsidRPr="00FD3661">
        <w:t>(2</w:t>
      </w:r>
      <w:r w:rsidR="006B7EEA">
        <w:t>8</w:t>
      </w:r>
      <w:r w:rsidR="00FD3661" w:rsidRPr="00FD3661">
        <w:t>)</w:t>
      </w:r>
      <w:r w:rsidR="00FD3661">
        <w:fldChar w:fldCharType="end"/>
      </w:r>
      <w:r w:rsidR="002A3CEF">
        <w:t xml:space="preserve"> recommend that t</w:t>
      </w:r>
      <w:r w:rsidR="00B63783" w:rsidRPr="0029175B">
        <w:t xml:space="preserve">he </w:t>
      </w:r>
      <w:r w:rsidR="005D7605" w:rsidRPr="0029175B">
        <w:t xml:space="preserve">responsibility for preparing the </w:t>
      </w:r>
      <w:r w:rsidR="00B63783" w:rsidRPr="0029175B">
        <w:t xml:space="preserve">final </w:t>
      </w:r>
      <w:r w:rsidR="005D7605" w:rsidRPr="0029175B">
        <w:t xml:space="preserve">study report lies within the </w:t>
      </w:r>
      <w:r w:rsidR="00560D07" w:rsidRPr="0029175B">
        <w:t>lead</w:t>
      </w:r>
      <w:r w:rsidR="005D7605" w:rsidRPr="0029175B">
        <w:t xml:space="preserve"> investigator</w:t>
      </w:r>
      <w:r>
        <w:t xml:space="preserve">, </w:t>
      </w:r>
      <w:r w:rsidR="002A3CEF">
        <w:t xml:space="preserve">legal requirements may apply to MAHs for regulatory </w:t>
      </w:r>
      <w:r>
        <w:t>PASS</w:t>
      </w:r>
      <w:r w:rsidR="002A3CEF">
        <w:t>. For</w:t>
      </w:r>
      <w:r w:rsidR="001134DB" w:rsidRPr="0029175B">
        <w:t xml:space="preserve"> PASS</w:t>
      </w:r>
      <w:r w:rsidR="002A3CEF">
        <w:t xml:space="preserve"> imposed</w:t>
      </w:r>
      <w:r w:rsidR="000F6B3F">
        <w:t xml:space="preserve"> by regulators</w:t>
      </w:r>
      <w:r w:rsidR="002A3CEF">
        <w:t xml:space="preserve"> as a</w:t>
      </w:r>
      <w:r w:rsidR="001134DB" w:rsidRPr="0029175B">
        <w:t xml:space="preserve"> </w:t>
      </w:r>
      <w:r w:rsidR="00E537DA" w:rsidRPr="0029175B">
        <w:t>legal obligation</w:t>
      </w:r>
      <w:r w:rsidR="002A3CEF">
        <w:t>,</w:t>
      </w:r>
      <w:r w:rsidR="00E537DA" w:rsidRPr="0029175B">
        <w:t xml:space="preserve"> </w:t>
      </w:r>
      <w:r w:rsidR="002A3CEF">
        <w:t>the</w:t>
      </w:r>
      <w:r>
        <w:t xml:space="preserve"> final study</w:t>
      </w:r>
      <w:r w:rsidR="002A3CEF">
        <w:t xml:space="preserve"> report</w:t>
      </w:r>
      <w:r w:rsidR="002A3CEF" w:rsidRPr="0029175B">
        <w:t xml:space="preserve"> </w:t>
      </w:r>
      <w:r w:rsidR="00E537DA" w:rsidRPr="0029175B">
        <w:t>has</w:t>
      </w:r>
      <w:r w:rsidR="001134DB" w:rsidRPr="0029175B">
        <w:t xml:space="preserve"> to follow</w:t>
      </w:r>
      <w:r w:rsidR="00271D58" w:rsidRPr="0029175B">
        <w:t xml:space="preserve"> </w:t>
      </w:r>
      <w:r w:rsidR="001134DB" w:rsidRPr="0029175B">
        <w:t xml:space="preserve">the format of the </w:t>
      </w:r>
      <w:r w:rsidR="001134DB" w:rsidRPr="006E7959">
        <w:rPr>
          <w:i/>
        </w:rPr>
        <w:t>Guidance for the format and content of the final study report of non-interventional post-authorisation safety studies</w:t>
      </w:r>
      <w:r w:rsidR="00C631F9" w:rsidRPr="0029175B">
        <w:t xml:space="preserve"> </w:t>
      </w:r>
      <w:r w:rsidR="00C631F9" w:rsidRPr="0029175B">
        <w:fldChar w:fldCharType="begin"/>
      </w:r>
      <w:r w:rsidR="005E2E45">
        <w:instrText xml:space="preserve"> ADDIN ZOTERO_ITEM CSL_CITATION {"citationID":"a2app64a9up","properties":{"formattedCitation":"(38)","plainCitation":"(38)"},"citationItems":[{"id":2274,"uris":["http://zotero.org/users/local/tAKp4fcl/items/APJZPCCG"],"uri":["http://zotero.org/users/local/tAKp4fcl/items/APJZPCCG"],"itemData":{"id":2274,"type":"article","title":"Guidance for the format and content of the final study report of non-interventional post-authorisation safety studies. EMA/48663/2013","URL":"http://www.ema.europa.eu/docs/en_GB/document_library/Regulatory_and_procedural_guideline/2013/01/WC500137939.pdf","author":[{"literal":"European Medicines Agency (EMA)"}],"issued":{"date-parts":[["2013",7,30]]}}}],"schema":"https://github.com/citation-style-language/schema/raw/master/csl-citation.json"} </w:instrText>
      </w:r>
      <w:r w:rsidR="00C631F9" w:rsidRPr="0029175B">
        <w:fldChar w:fldCharType="separate"/>
      </w:r>
      <w:r w:rsidR="005E2E45" w:rsidRPr="005E2E45">
        <w:t>(38)</w:t>
      </w:r>
      <w:r w:rsidR="00C631F9" w:rsidRPr="0029175B">
        <w:fldChar w:fldCharType="end"/>
      </w:r>
      <w:r w:rsidR="002B633E" w:rsidRPr="0029175B">
        <w:t>.</w:t>
      </w:r>
      <w:r w:rsidR="001134DB" w:rsidRPr="0029175B">
        <w:t xml:space="preserve"> This format </w:t>
      </w:r>
      <w:r w:rsidR="002B633E" w:rsidRPr="0029175B">
        <w:t>is</w:t>
      </w:r>
      <w:r w:rsidR="001134DB" w:rsidRPr="0029175B">
        <w:t xml:space="preserve"> also </w:t>
      </w:r>
      <w:r w:rsidR="00E537DA" w:rsidRPr="0029175B">
        <w:t>recommended</w:t>
      </w:r>
      <w:r w:rsidR="001134DB" w:rsidRPr="0029175B">
        <w:t xml:space="preserve"> for PASS required in </w:t>
      </w:r>
      <w:r w:rsidR="003B3AD2">
        <w:t>the RMP</w:t>
      </w:r>
      <w:r w:rsidR="001134DB" w:rsidRPr="0029175B">
        <w:t xml:space="preserve"> agreed</w:t>
      </w:r>
      <w:r w:rsidR="00950A4E" w:rsidRPr="0029175B">
        <w:t xml:space="preserve"> in the EU</w:t>
      </w:r>
      <w:r w:rsidR="001134DB" w:rsidRPr="0029175B">
        <w:t xml:space="preserve"> or conducted voluntarily in the EU.</w:t>
      </w:r>
      <w:r w:rsidR="00950A4E" w:rsidRPr="0029175B">
        <w:t xml:space="preserve"> </w:t>
      </w:r>
      <w:r w:rsidR="00404267">
        <w:t>For a registry study contracted externally by a MAH, the MAH</w:t>
      </w:r>
      <w:r w:rsidR="00560D07" w:rsidRPr="0029175B">
        <w:t xml:space="preserve"> should therefore be able to comment on the study results and their interpretation as well as on the format of the report.</w:t>
      </w:r>
      <w:r w:rsidR="00C228BA" w:rsidRPr="0029175B">
        <w:t xml:space="preserve"> </w:t>
      </w:r>
      <w:r w:rsidR="00560D07" w:rsidRPr="0029175B">
        <w:t xml:space="preserve">Requests by the MAH that interpretation of the results or their presentation be changed should be based on sound scientific reasons or regulatory </w:t>
      </w:r>
      <w:r w:rsidR="00B63783" w:rsidRPr="0029175B">
        <w:t xml:space="preserve">requirements. The lead investigator </w:t>
      </w:r>
      <w:r w:rsidR="00C228BA" w:rsidRPr="0029175B">
        <w:t xml:space="preserve">should </w:t>
      </w:r>
      <w:r w:rsidR="00B63783" w:rsidRPr="0029175B">
        <w:t xml:space="preserve">keep </w:t>
      </w:r>
      <w:r w:rsidR="00C228BA" w:rsidRPr="0029175B">
        <w:t xml:space="preserve">the responsibility </w:t>
      </w:r>
      <w:r w:rsidR="00B63783" w:rsidRPr="0029175B">
        <w:t xml:space="preserve">for </w:t>
      </w:r>
      <w:r w:rsidR="00E537DA" w:rsidRPr="0029175B">
        <w:t xml:space="preserve">the scientific </w:t>
      </w:r>
      <w:r w:rsidR="00B63783" w:rsidRPr="0029175B">
        <w:t>interpretation</w:t>
      </w:r>
      <w:r w:rsidR="00404267">
        <w:t xml:space="preserve"> of the results</w:t>
      </w:r>
      <w:r w:rsidR="00B63783" w:rsidRPr="0029175B">
        <w:t xml:space="preserve">. </w:t>
      </w:r>
    </w:p>
    <w:p w:rsidR="001134DB" w:rsidRPr="0029175B" w:rsidRDefault="00D64049" w:rsidP="001134DB">
      <w:pPr>
        <w:pStyle w:val="BodytextAgency"/>
      </w:pPr>
      <w:r w:rsidRPr="0029175B">
        <w:t xml:space="preserve">Following the submission of the final study report, additional information or clarifications may be </w:t>
      </w:r>
      <w:r w:rsidR="006347B8" w:rsidRPr="0029175B">
        <w:t xml:space="preserve">requested to the MAH by the regulatory authority. The lead investigator should have the </w:t>
      </w:r>
      <w:r w:rsidR="004209A0" w:rsidRPr="0029175B">
        <w:t xml:space="preserve">duty and </w:t>
      </w:r>
      <w:r w:rsidR="00E86E7F" w:rsidRPr="0029175B">
        <w:t xml:space="preserve">scientific </w:t>
      </w:r>
      <w:r w:rsidR="006347B8" w:rsidRPr="0029175B">
        <w:t>responsibility to address the scientific aspects of the request, with the possibility for the MAH to provide comments.</w:t>
      </w:r>
    </w:p>
    <w:p w:rsidR="003D7B75" w:rsidRPr="0029175B" w:rsidRDefault="00D64049" w:rsidP="00560D07">
      <w:pPr>
        <w:pStyle w:val="BodytextAgency"/>
      </w:pPr>
      <w:r w:rsidRPr="0029175B">
        <w:t>The</w:t>
      </w:r>
      <w:r w:rsidR="00560D07" w:rsidRPr="0029175B">
        <w:t xml:space="preserve"> lead investigator sh</w:t>
      </w:r>
      <w:r w:rsidR="002B633E" w:rsidRPr="0029175B">
        <w:t>ould</w:t>
      </w:r>
      <w:r w:rsidR="00560D07" w:rsidRPr="0029175B">
        <w:t xml:space="preserve"> always have the right to independently prepare publications of the study results irrespective of </w:t>
      </w:r>
      <w:r w:rsidRPr="0029175B">
        <w:t>the source of funding</w:t>
      </w:r>
      <w:r w:rsidR="00560D07" w:rsidRPr="0029175B">
        <w:t xml:space="preserve">. The </w:t>
      </w:r>
      <w:r w:rsidRPr="0029175B">
        <w:t xml:space="preserve">MAH which funded the registry study </w:t>
      </w:r>
      <w:r w:rsidR="002B633E" w:rsidRPr="0029175B">
        <w:t>should</w:t>
      </w:r>
      <w:r w:rsidR="00560D07" w:rsidRPr="0029175B">
        <w:t xml:space="preserve"> be entitled to view the final results and interpretations thereof prior to submission for publication and to comment in advance of submission within a reasonable time limit, e.g. one month, and without unjustifiably delaying the publication. </w:t>
      </w:r>
      <w:r w:rsidRPr="0029175B">
        <w:t>The MAH may also</w:t>
      </w:r>
      <w:r w:rsidR="00560D07" w:rsidRPr="0029175B">
        <w:t xml:space="preserve"> require that the presentation of the results be changed to delete confidential information. </w:t>
      </w:r>
    </w:p>
    <w:p w:rsidR="007A4E07" w:rsidRPr="0029175B" w:rsidRDefault="00D64049">
      <w:pPr>
        <w:rPr>
          <w:rFonts w:eastAsia="Verdana" w:cs="Arial"/>
          <w:b/>
          <w:bCs/>
          <w:kern w:val="32"/>
          <w:sz w:val="27"/>
          <w:szCs w:val="27"/>
        </w:rPr>
      </w:pPr>
      <w:r w:rsidRPr="0029175B">
        <w:br w:type="page"/>
      </w:r>
    </w:p>
    <w:p w:rsidR="005475A9" w:rsidRPr="0029175B" w:rsidRDefault="00D64049" w:rsidP="005475A9">
      <w:pPr>
        <w:pStyle w:val="Heading1Agency"/>
      </w:pPr>
      <w:bookmarkStart w:id="128" w:name="_Toc528934964"/>
      <w:r w:rsidRPr="0029175B">
        <w:lastRenderedPageBreak/>
        <w:t>Conclusions</w:t>
      </w:r>
      <w:bookmarkEnd w:id="128"/>
    </w:p>
    <w:p w:rsidR="005475A9" w:rsidRPr="0029175B" w:rsidRDefault="00D64049" w:rsidP="005475A9">
      <w:pPr>
        <w:pStyle w:val="BodytextAgency"/>
      </w:pPr>
      <w:r w:rsidRPr="0029175B">
        <w:t>P</w:t>
      </w:r>
      <w:r w:rsidR="009F09BE" w:rsidRPr="0029175B">
        <w:t>atient registries</w:t>
      </w:r>
      <w:r w:rsidR="008D1E3B" w:rsidRPr="0029175B">
        <w:t xml:space="preserve"> play</w:t>
      </w:r>
      <w:r w:rsidR="009F09BE" w:rsidRPr="0029175B">
        <w:t xml:space="preserve"> an important r</w:t>
      </w:r>
      <w:r w:rsidRPr="0029175B">
        <w:t>ole in medicines regulation a</w:t>
      </w:r>
      <w:r w:rsidR="0043187C" w:rsidRPr="0029175B">
        <w:t>s</w:t>
      </w:r>
      <w:r w:rsidRPr="0029175B">
        <w:t xml:space="preserve"> valuable data sources on </w:t>
      </w:r>
      <w:r w:rsidR="0043187C" w:rsidRPr="0029175B">
        <w:t xml:space="preserve">diseases and their treatments. The EMA </w:t>
      </w:r>
      <w:r w:rsidR="006B7EEA">
        <w:t xml:space="preserve">Patient </w:t>
      </w:r>
      <w:r w:rsidR="0043187C" w:rsidRPr="0029175B">
        <w:t>registry initiative has been initiated to support the use of</w:t>
      </w:r>
      <w:r w:rsidR="009F09BE" w:rsidRPr="0029175B">
        <w:t xml:space="preserve"> h</w:t>
      </w:r>
      <w:r w:rsidR="0043187C" w:rsidRPr="0029175B">
        <w:t xml:space="preserve">igh quality data from </w:t>
      </w:r>
      <w:r w:rsidR="000B4024" w:rsidRPr="0029175B">
        <w:t xml:space="preserve">disease registries. During the pilot phase </w:t>
      </w:r>
      <w:r w:rsidR="000B258A" w:rsidRPr="0029175B">
        <w:t>and in several specific disease</w:t>
      </w:r>
      <w:r w:rsidR="000B4024" w:rsidRPr="0029175B">
        <w:t>–related workshops, it became cl</w:t>
      </w:r>
      <w:r w:rsidR="00E00123" w:rsidRPr="0029175B">
        <w:t>e</w:t>
      </w:r>
      <w:r w:rsidR="000B4024" w:rsidRPr="0029175B">
        <w:t xml:space="preserve">ar that there was a need </w:t>
      </w:r>
      <w:r w:rsidR="002E52C7" w:rsidRPr="0029175B">
        <w:t xml:space="preserve">for </w:t>
      </w:r>
      <w:r w:rsidR="0026647B" w:rsidRPr="0029175B">
        <w:t>clarif</w:t>
      </w:r>
      <w:r w:rsidR="00E00123" w:rsidRPr="0029175B">
        <w:t xml:space="preserve">ications and recommendations about the </w:t>
      </w:r>
      <w:r w:rsidR="0026647B" w:rsidRPr="0029175B">
        <w:t xml:space="preserve">expectations from regulators </w:t>
      </w:r>
      <w:r w:rsidR="00207FEE" w:rsidRPr="0029175B">
        <w:t>on the type of data to be provided by registries, the acceptable level of quality and the requirements as regards safety</w:t>
      </w:r>
      <w:r w:rsidR="00ED1EC1" w:rsidRPr="0029175B">
        <w:t xml:space="preserve"> reporting. This information is particularly important to understand whether registries can be used by pharmaceutical companies to support regulatory evaluations.</w:t>
      </w:r>
    </w:p>
    <w:p w:rsidR="00C1021E" w:rsidRPr="0029175B" w:rsidRDefault="00D64049" w:rsidP="005475A9">
      <w:pPr>
        <w:pStyle w:val="BodytextAgency"/>
      </w:pPr>
      <w:r w:rsidRPr="0029175B">
        <w:t>A</w:t>
      </w:r>
      <w:r w:rsidR="00BC0C38" w:rsidRPr="0029175B">
        <w:t xml:space="preserve"> distinction </w:t>
      </w:r>
      <w:r w:rsidRPr="0029175B">
        <w:t>i</w:t>
      </w:r>
      <w:r w:rsidR="00BC0C38" w:rsidRPr="0029175B">
        <w:t>s made</w:t>
      </w:r>
      <w:r w:rsidR="00AE534D" w:rsidRPr="0029175B">
        <w:t xml:space="preserve"> </w:t>
      </w:r>
      <w:r w:rsidRPr="0029175B">
        <w:t xml:space="preserve">in this </w:t>
      </w:r>
      <w:r w:rsidR="006B7EEA">
        <w:t>paper</w:t>
      </w:r>
      <w:r w:rsidRPr="0029175B">
        <w:t xml:space="preserve"> </w:t>
      </w:r>
      <w:r w:rsidR="00AE534D" w:rsidRPr="0029175B">
        <w:t xml:space="preserve">between methodological recommendations that apply to registries and those that apply to </w:t>
      </w:r>
      <w:r w:rsidR="005F50D8" w:rsidRPr="0029175B">
        <w:t xml:space="preserve">specific studies using registry as a source of data. </w:t>
      </w:r>
      <w:r w:rsidR="00F6698C" w:rsidRPr="0029175B">
        <w:t>There are severa</w:t>
      </w:r>
      <w:r w:rsidR="00D70C06" w:rsidRPr="0029175B">
        <w:t xml:space="preserve">l reasons why this distinction is justified: </w:t>
      </w:r>
    </w:p>
    <w:p w:rsidR="00C1021E" w:rsidRPr="0029175B" w:rsidRDefault="00D64049" w:rsidP="00C1021E">
      <w:pPr>
        <w:pStyle w:val="BodytextAgency"/>
        <w:numPr>
          <w:ilvl w:val="0"/>
          <w:numId w:val="29"/>
        </w:numPr>
      </w:pPr>
      <w:r w:rsidRPr="0029175B">
        <w:t>a registry is a routine, long-term, data collection system</w:t>
      </w:r>
      <w:r w:rsidR="00B74673" w:rsidRPr="0029175B">
        <w:t xml:space="preserve"> and</w:t>
      </w:r>
      <w:r w:rsidR="00862422" w:rsidRPr="0029175B">
        <w:t xml:space="preserve"> </w:t>
      </w:r>
      <w:r w:rsidRPr="0029175B">
        <w:t xml:space="preserve">a </w:t>
      </w:r>
      <w:r w:rsidR="009B29D1">
        <w:t xml:space="preserve">registry </w:t>
      </w:r>
      <w:r w:rsidRPr="0029175B">
        <w:t xml:space="preserve">study is a time-limited investigation of a </w:t>
      </w:r>
      <w:r w:rsidR="00B74673" w:rsidRPr="0029175B">
        <w:t xml:space="preserve">specific </w:t>
      </w:r>
      <w:r w:rsidRPr="0029175B">
        <w:t>research question; different objectives require different methods;</w:t>
      </w:r>
    </w:p>
    <w:p w:rsidR="00ED1EC1" w:rsidRPr="0029175B" w:rsidRDefault="00D64049" w:rsidP="00C1021E">
      <w:pPr>
        <w:pStyle w:val="BodytextAgency"/>
        <w:numPr>
          <w:ilvl w:val="0"/>
          <w:numId w:val="29"/>
        </w:numPr>
      </w:pPr>
      <w:r w:rsidRPr="0029175B">
        <w:t xml:space="preserve">the study team is generally different from the registry </w:t>
      </w:r>
      <w:r w:rsidR="00862422" w:rsidRPr="0029175B">
        <w:t>group; while a registry coordinator may also take the role of the principal investigator for a study, a study may require additional expertise such as statistical expertise;</w:t>
      </w:r>
    </w:p>
    <w:p w:rsidR="00862422" w:rsidRPr="0029175B" w:rsidRDefault="00D64049" w:rsidP="00C1021E">
      <w:pPr>
        <w:pStyle w:val="BodytextAgency"/>
        <w:numPr>
          <w:ilvl w:val="0"/>
          <w:numId w:val="29"/>
        </w:numPr>
      </w:pPr>
      <w:r w:rsidRPr="0029175B">
        <w:t xml:space="preserve">a registry may contribute to regulatory evaluations outside the context of a study; </w:t>
      </w:r>
      <w:r w:rsidR="006F6F35" w:rsidRPr="0029175B">
        <w:t>it can provide routine data to regulatory authorities and MAHs</w:t>
      </w:r>
      <w:r w:rsidR="00630E43">
        <w:t>;</w:t>
      </w:r>
    </w:p>
    <w:p w:rsidR="006F6F35" w:rsidRPr="0029175B" w:rsidRDefault="00D64049" w:rsidP="00C44D86">
      <w:pPr>
        <w:pStyle w:val="BodytextAgency"/>
        <w:numPr>
          <w:ilvl w:val="0"/>
          <w:numId w:val="29"/>
        </w:numPr>
      </w:pPr>
      <w:r w:rsidRPr="0029175B">
        <w:t xml:space="preserve">registries and </w:t>
      </w:r>
      <w:r w:rsidR="006E457C" w:rsidRPr="0029175B">
        <w:t xml:space="preserve">registry </w:t>
      </w:r>
      <w:r w:rsidRPr="0029175B">
        <w:t>studies are faced with different methodological issues; important challenges to be addressed by registries are quality management and organisational aspects linked to long-term</w:t>
      </w:r>
      <w:r w:rsidR="00C73A52">
        <w:t xml:space="preserve"> retention and</w:t>
      </w:r>
      <w:r w:rsidRPr="0029175B">
        <w:t xml:space="preserve"> follow-up of patients, completeness of information and sustainability; in addition to </w:t>
      </w:r>
      <w:r w:rsidR="00C73A52">
        <w:t xml:space="preserve">challenges regarding to </w:t>
      </w:r>
      <w:r w:rsidRPr="0029175B">
        <w:t xml:space="preserve">data quality and completeness of information, </w:t>
      </w:r>
      <w:r w:rsidR="00C73A52">
        <w:t xml:space="preserve">registry </w:t>
      </w:r>
      <w:r w:rsidRPr="0029175B">
        <w:t xml:space="preserve">studies may be faced with very complex </w:t>
      </w:r>
      <w:r w:rsidR="00C73A52">
        <w:t xml:space="preserve">epidemiological and </w:t>
      </w:r>
      <w:r w:rsidRPr="0029175B">
        <w:t xml:space="preserve">statistical </w:t>
      </w:r>
      <w:r w:rsidR="009B29D1">
        <w:t>questions,</w:t>
      </w:r>
      <w:r w:rsidR="00C44D86">
        <w:t xml:space="preserve"> and </w:t>
      </w:r>
      <w:r w:rsidR="00C44D86" w:rsidRPr="00C44D86">
        <w:t>challenges of registry data analyses that may introduce bias and compromise the validity of the results need to be carefully considered when designing the protocol and SAP of registry studies.</w:t>
      </w:r>
    </w:p>
    <w:p w:rsidR="00444979" w:rsidRPr="0029175B" w:rsidRDefault="00D64049" w:rsidP="00444979">
      <w:pPr>
        <w:pStyle w:val="BodytextAgency"/>
      </w:pPr>
      <w:r w:rsidRPr="0029175B">
        <w:t xml:space="preserve">The experience has </w:t>
      </w:r>
      <w:r w:rsidR="00BC0C38" w:rsidRPr="0029175B">
        <w:t>shown that registries are particularly</w:t>
      </w:r>
      <w:r w:rsidRPr="0029175B">
        <w:t xml:space="preserve"> useful </w:t>
      </w:r>
      <w:r w:rsidR="00BC0C38" w:rsidRPr="0029175B">
        <w:t>to monitor</w:t>
      </w:r>
      <w:r w:rsidRPr="0029175B">
        <w:t xml:space="preserve"> treatments of rare diseases. A single registry </w:t>
      </w:r>
      <w:r w:rsidR="00BB279F">
        <w:t xml:space="preserve">with limited size </w:t>
      </w:r>
      <w:r w:rsidRPr="0029175B">
        <w:t>is therefore unlikely to provide enough data for precise analyses</w:t>
      </w:r>
      <w:r w:rsidR="00C668A3" w:rsidRPr="0029175B">
        <w:t xml:space="preserve"> and collaborations between registries of patients with a same disease is encouraged. For this reason, emphasis has been put on adoption of a core list of common data collected by all registries, of common terminologies and of common protocols to access the data. Routine collection of a common set of data elements will facilitate initiation of studies</w:t>
      </w:r>
      <w:r w:rsidR="00315120" w:rsidRPr="0029175B">
        <w:t xml:space="preserve"> and use of the data in the best interest of patients </w:t>
      </w:r>
      <w:r w:rsidR="00B74673" w:rsidRPr="0029175B">
        <w:t>and</w:t>
      </w:r>
      <w:r w:rsidR="00315120" w:rsidRPr="0029175B">
        <w:t xml:space="preserve"> </w:t>
      </w:r>
      <w:r w:rsidR="001B26A0">
        <w:t>the</w:t>
      </w:r>
      <w:r w:rsidR="001B26A0" w:rsidRPr="0029175B">
        <w:t xml:space="preserve"> </w:t>
      </w:r>
      <w:r w:rsidR="00315120" w:rsidRPr="0029175B">
        <w:t>patient community.</w:t>
      </w:r>
      <w:r w:rsidR="001B26A0">
        <w:t xml:space="preserve"> In this respect,</w:t>
      </w:r>
      <w:r w:rsidR="001B26A0" w:rsidRPr="001B26A0">
        <w:t xml:space="preserve"> clarity </w:t>
      </w:r>
      <w:r w:rsidR="001B26A0">
        <w:t xml:space="preserve">is needed </w:t>
      </w:r>
      <w:r w:rsidR="001B26A0" w:rsidRPr="001B26A0">
        <w:t>regarding data ownership</w:t>
      </w:r>
      <w:r w:rsidR="001B26A0">
        <w:t>,</w:t>
      </w:r>
      <w:r w:rsidR="001B26A0" w:rsidRPr="001B26A0">
        <w:t xml:space="preserve"> including patients’ wishes regarding the use </w:t>
      </w:r>
      <w:r w:rsidR="001B26A0">
        <w:t>o</w:t>
      </w:r>
      <w:r w:rsidR="001B26A0" w:rsidRPr="001B26A0">
        <w:t>f their data.</w:t>
      </w:r>
    </w:p>
    <w:p w:rsidR="00C44D86" w:rsidRDefault="00D64049" w:rsidP="00444979">
      <w:pPr>
        <w:pStyle w:val="BodytextAgency"/>
      </w:pPr>
      <w:r w:rsidRPr="0029175B">
        <w:t>Sustainability of disease registries has been a common issue discussed in the course</w:t>
      </w:r>
      <w:r w:rsidR="006E457C" w:rsidRPr="0029175B">
        <w:t xml:space="preserve"> o</w:t>
      </w:r>
      <w:r w:rsidRPr="0029175B">
        <w:t xml:space="preserve">f the EMA </w:t>
      </w:r>
      <w:r w:rsidR="006B7EEA">
        <w:t>P</w:t>
      </w:r>
      <w:r w:rsidRPr="0029175B">
        <w:t xml:space="preserve">atient registry initiative. </w:t>
      </w:r>
      <w:r w:rsidR="00BC0C38" w:rsidRPr="0029175B">
        <w:t xml:space="preserve">Studies conducted with </w:t>
      </w:r>
      <w:r w:rsidR="00F318E2" w:rsidRPr="0029175B">
        <w:t xml:space="preserve">registry data may provide an additional source of funding from the public or the private sector. Governance principles </w:t>
      </w:r>
      <w:r w:rsidR="003B3AD2">
        <w:t>are</w:t>
      </w:r>
      <w:r w:rsidR="003B3AD2" w:rsidRPr="0029175B">
        <w:t xml:space="preserve"> </w:t>
      </w:r>
      <w:r w:rsidR="00BC0C38" w:rsidRPr="0029175B">
        <w:t xml:space="preserve">therefore </w:t>
      </w:r>
      <w:r w:rsidR="00F318E2" w:rsidRPr="0029175B">
        <w:t xml:space="preserve">proposed to facilitate interactions between all parties concerned </w:t>
      </w:r>
      <w:r w:rsidR="008C160F">
        <w:t xml:space="preserve">while </w:t>
      </w:r>
      <w:r w:rsidR="008C160F" w:rsidRPr="0029175B">
        <w:t>preserv</w:t>
      </w:r>
      <w:r w:rsidR="008C160F">
        <w:t>ing</w:t>
      </w:r>
      <w:r w:rsidR="008C160F" w:rsidRPr="0029175B">
        <w:t xml:space="preserve"> </w:t>
      </w:r>
      <w:r w:rsidR="00F318E2" w:rsidRPr="0029175B">
        <w:t xml:space="preserve">the registry participants’ scientific independence. </w:t>
      </w:r>
      <w:r w:rsidR="00CA2B88" w:rsidRPr="0029175B">
        <w:t>For this aspect, quality management is an important activity to provide confidence in the quality of the data that can be generated.</w:t>
      </w:r>
      <w:r w:rsidRPr="0029175B">
        <w:t xml:space="preserve"> </w:t>
      </w:r>
    </w:p>
    <w:p w:rsidR="00BE0D57" w:rsidRPr="0029175B" w:rsidRDefault="00D64049" w:rsidP="00444979">
      <w:pPr>
        <w:pStyle w:val="BodytextAgency"/>
      </w:pPr>
      <w:r>
        <w:t>The EMA is</w:t>
      </w:r>
      <w:r w:rsidR="0071261E" w:rsidRPr="0029175B">
        <w:t xml:space="preserve"> willing to </w:t>
      </w:r>
      <w:r w:rsidR="00434511" w:rsidRPr="0029175B">
        <w:t>support interactions</w:t>
      </w:r>
      <w:r w:rsidR="0071261E" w:rsidRPr="0029175B">
        <w:t xml:space="preserve"> and provide tools to facilitate recognition of </w:t>
      </w:r>
      <w:r w:rsidR="00384FFA">
        <w:t xml:space="preserve">disease </w:t>
      </w:r>
      <w:r w:rsidR="0071261E" w:rsidRPr="0029175B">
        <w:t xml:space="preserve">registries as data sources to conduct studies for regulatory purposes. The Scientific Advice procedure on study protocols and the Qualification procedures of registries are available to pharmaceutical companies and registry coordinators to provide advice and opinions </w:t>
      </w:r>
      <w:r w:rsidR="005573AE" w:rsidRPr="0029175B">
        <w:t>on the validity of registries</w:t>
      </w:r>
      <w:r w:rsidR="00C27D26">
        <w:t xml:space="preserve"> and study protocols</w:t>
      </w:r>
      <w:r w:rsidR="005573AE" w:rsidRPr="0029175B">
        <w:t>.</w:t>
      </w:r>
    </w:p>
    <w:p w:rsidR="00FE1DBC" w:rsidRPr="0029175B" w:rsidRDefault="00D64049" w:rsidP="00FE1DBC">
      <w:pPr>
        <w:pStyle w:val="Heading1Agency"/>
      </w:pPr>
      <w:bookmarkStart w:id="129" w:name="_Toc528934965"/>
      <w:r w:rsidRPr="0029175B">
        <w:lastRenderedPageBreak/>
        <w:t>References</w:t>
      </w:r>
      <w:bookmarkEnd w:id="129"/>
    </w:p>
    <w:p w:rsidR="00526E44" w:rsidRDefault="00D64049" w:rsidP="00526E44">
      <w:pPr>
        <w:pStyle w:val="Literaturverzeichnis"/>
      </w:pPr>
      <w:r>
        <w:fldChar w:fldCharType="begin"/>
      </w:r>
      <w:r>
        <w:instrText xml:space="preserve"> ADDIN ZOTERO_BIBL {"custom":[]} CSL_BIBLIOGRAPHY  \* MERGEFORMAT </w:instrText>
      </w:r>
      <w:r>
        <w:fldChar w:fldCharType="end"/>
      </w:r>
      <w:r w:rsidRPr="00507CD9">
        <w:fldChar w:fldCharType="begin"/>
      </w:r>
      <w:r>
        <w:instrText xml:space="preserve"> ADDIN ZOTERO_BIBL {"custom":[]} CSL_BIBLIOGRAPHY </w:instrText>
      </w:r>
      <w:r w:rsidRPr="00507CD9">
        <w:fldChar w:fldCharType="separate"/>
      </w:r>
      <w:r>
        <w:t xml:space="preserve">1. </w:t>
      </w:r>
      <w:r>
        <w:tab/>
        <w:t>European Medicines Agency (EMA). About Us. EMA/338312/2016 Rev. 1 [Internet]. 2017. Available from: http://www.ema.europa.eu/docs/en_GB/document_library/Other/2016/08/WC500211862.pdf</w:t>
      </w:r>
    </w:p>
    <w:p w:rsidR="00526E44" w:rsidRDefault="00D64049" w:rsidP="00526E44">
      <w:pPr>
        <w:pStyle w:val="Literaturverzeichnis"/>
      </w:pPr>
      <w:r>
        <w:t xml:space="preserve">2. </w:t>
      </w:r>
      <w:r>
        <w:tab/>
        <w:t xml:space="preserve">Bouvy JC, Blake K, Slattery J, De Bruin ML, Arlett P, Kurz X. Registries in European post-marketing surveillance: a retrospective analysis of centrally approved products, 2005-2013. Pharmacoepidemiol Drug Saf. 2017 Dec;26(12):1442–50. </w:t>
      </w:r>
    </w:p>
    <w:p w:rsidR="00526E44" w:rsidRDefault="00D64049" w:rsidP="00526E44">
      <w:pPr>
        <w:pStyle w:val="Literaturverzeichnis"/>
      </w:pPr>
      <w:r>
        <w:t xml:space="preserve">3. </w:t>
      </w:r>
      <w:r>
        <w:tab/>
        <w:t xml:space="preserve">Jonker CJ, van den Berg HM, Kwa MSG, Hoes AW, Mol PGM. Registries supporting new drug applications. Pharmacoepidemiol Drug Saf. 2017 Dec;26(12):1451–7. </w:t>
      </w:r>
    </w:p>
    <w:p w:rsidR="00526E44" w:rsidRDefault="00D64049" w:rsidP="00526E44">
      <w:pPr>
        <w:pStyle w:val="Literaturverzeichnis"/>
      </w:pPr>
      <w:r>
        <w:t xml:space="preserve">4. </w:t>
      </w:r>
      <w:r>
        <w:tab/>
        <w:t>European Medicines Agency (EMA). European Medicines Agency (EMA). Patient registries [Internet]. Available from: https://www.ema.europa.eu/human-regulatory/post-authorisation/patient-registries</w:t>
      </w:r>
    </w:p>
    <w:p w:rsidR="00526E44" w:rsidRDefault="00D64049" w:rsidP="00526E44">
      <w:pPr>
        <w:pStyle w:val="Literaturverzeichnis"/>
      </w:pPr>
      <w:r>
        <w:t xml:space="preserve">5. </w:t>
      </w:r>
      <w:r>
        <w:tab/>
        <w:t>European Medicines Agency (EMA). Patient Registries Workshop, 28 October 2016 - Observations and recommendations arising from the workshop. EMA/69716/2017 [Internet]. 2017. Available from: http://www.ema.europa.eu/docs/en_GB/document_library/Report/2017/02/WC500221618.pdf</w:t>
      </w:r>
    </w:p>
    <w:p w:rsidR="00526E44" w:rsidRDefault="00D64049" w:rsidP="00526E44">
      <w:pPr>
        <w:pStyle w:val="Literaturverzeichnis"/>
      </w:pPr>
      <w:r>
        <w:t xml:space="preserve">6. </w:t>
      </w:r>
      <w:r>
        <w:tab/>
        <w:t>European Medicines Agency (EMA). Report on Cystic Fibrosis Registries - Workshop 14 June 2017. Patient Registries Initiative. EMA/510601/2017 [Internet]. 2017. Available from: http://www.ema.europa.eu/docs/en_GB/document_library/Report/2017/10/WC500236631.pdf</w:t>
      </w:r>
    </w:p>
    <w:p w:rsidR="00526E44" w:rsidRDefault="00D64049" w:rsidP="00526E44">
      <w:pPr>
        <w:pStyle w:val="Literaturverzeichnis"/>
      </w:pPr>
      <w:r>
        <w:t xml:space="preserve">7. </w:t>
      </w:r>
      <w:r>
        <w:tab/>
        <w:t>European Medicines Agency (EMA). Report on Multiple Sclerosis Registries - Workshop 7 July 2017. Patient Registries Initiative. EMA/548474/2017 [Internet]. 2017. Available from: http://www.ema.europa.eu/docs/en_GB/document_library/Report/2017/10/WC500236644.pdf</w:t>
      </w:r>
    </w:p>
    <w:p w:rsidR="00526E44" w:rsidRDefault="00D64049" w:rsidP="00526E44">
      <w:pPr>
        <w:pStyle w:val="Literaturverzeichnis"/>
      </w:pPr>
      <w:r>
        <w:t xml:space="preserve">8. </w:t>
      </w:r>
      <w:r>
        <w:tab/>
        <w:t>European Medicines Agency (EMA). Report on CAR T-cell therapy Registries - Workshop 9 February 2018. Patient Registries Initiative. EMA/204454/2018 [Internet]. 2018. Available from: http://www.ema.europa.eu/docs/en_GB/document_library/Report/2018/05/WC500249247.pdf</w:t>
      </w:r>
    </w:p>
    <w:p w:rsidR="00526E44" w:rsidRDefault="00D64049" w:rsidP="00526E44">
      <w:pPr>
        <w:pStyle w:val="Literaturverzeichnis"/>
      </w:pPr>
      <w:r>
        <w:t xml:space="preserve">9. </w:t>
      </w:r>
      <w:r>
        <w:tab/>
        <w:t>European Medicines Agency (EMA). Report on Haemophilia Registies - Workshop 8  June 2018. Patient Registries Initiative. EMA/487643/2018 [Internet]. Available from: https://www.ema.europa.eu/documents/report/report-haemophilia-registries-workshop_en.pdf</w:t>
      </w:r>
    </w:p>
    <w:p w:rsidR="00526E44" w:rsidRDefault="00D64049" w:rsidP="00526E44">
      <w:pPr>
        <w:pStyle w:val="Literaturverzeichnis"/>
      </w:pPr>
      <w:r>
        <w:t xml:space="preserve">10. </w:t>
      </w:r>
      <w:r>
        <w:tab/>
        <w:t>European Medicines Agency (EMA). Qualification opinion - The European Cystic Fibrosis Society Patient Registry (ECFSPR). EMA/CHMP/SAWP/802259/2017 [Internet]. Available from: https://www.ema.europa.eu/documents/regulatory-procedural-guideline/qualification-opinion-european-cystic-fibrosis-society-patient-registry-ecfspr_en.pdf</w:t>
      </w:r>
    </w:p>
    <w:p w:rsidR="00526E44" w:rsidRDefault="00D64049" w:rsidP="00526E44">
      <w:pPr>
        <w:pStyle w:val="Literaturverzeichnis"/>
      </w:pPr>
      <w:r>
        <w:t xml:space="preserve">11. </w:t>
      </w:r>
      <w:r>
        <w:tab/>
        <w:t>European Medicines Agency (EMA). Draft qualification opinion on Cellular therapy module of the European Society for Blood &amp; Marrow Transplantation (EBMT) Registry. EMA/CHMP/SAWP/423488/2018 [Internet]. Available from: https://www.ema.europa.eu/documents/regulatory-procedural-guideline/draft-qualification-opinion-cellular-therapy-module-european-society-blood-marrow-transplantation_en.pdf</w:t>
      </w:r>
    </w:p>
    <w:p w:rsidR="00526E44" w:rsidRDefault="00D64049" w:rsidP="00526E44">
      <w:pPr>
        <w:pStyle w:val="Literaturverzeichnis"/>
      </w:pPr>
      <w:r>
        <w:t xml:space="preserve">12. </w:t>
      </w:r>
      <w:r>
        <w:tab/>
        <w:t>Zaletel M, Kralj M, Magajne M, Doupi P. Methodological Guidelines and Recommendations for Efficient and Rationale Governance of Patient RegistriesMetka Zalatel. Eur J Public Health [Internet]. 2015 Oct 1 [cited 2018 Aug 6];25(suppl_3). Available from: https://academic.oup.com/eurpub/article/25/suppl_3/ckv169.006/2578054</w:t>
      </w:r>
    </w:p>
    <w:p w:rsidR="00526E44" w:rsidRDefault="00D64049" w:rsidP="00526E44">
      <w:pPr>
        <w:pStyle w:val="Literaturverzeichnis"/>
      </w:pPr>
      <w:r>
        <w:t xml:space="preserve">13. </w:t>
      </w:r>
      <w:r>
        <w:tab/>
        <w:t>Gliklich R, Dreyer N, Leavy M, eds. Registries for Evaluating Patient Outcomes: A User’s Guide. Third edition. Two volumes. (Prepared by the Outcome DEcIDE Center [Outcome Sciences, Inc., a Quintiles company] under Contract No. 290 2005 00351 TO7.) Rockville, MD: Agency for Healthcare Research and Quality. [Internet]. 2014. Available from: https://effectivehealthcare.ahrq.gov/topics/registries-guide-3rd-edition/research</w:t>
      </w:r>
    </w:p>
    <w:p w:rsidR="00526E44" w:rsidRDefault="00D64049" w:rsidP="00526E44">
      <w:pPr>
        <w:pStyle w:val="Literaturverzeichnis"/>
      </w:pPr>
      <w:r>
        <w:t xml:space="preserve">14. </w:t>
      </w:r>
      <w:r>
        <w:tab/>
        <w:t>ENCePP, European Network of Centres for Pharmacoepidemiology and Pharmacovigilance. ENCePP Guide on Methodological Standards in Pharmacoepidemiology [Internet]. Available from: http://www.encepp.eu/standards_and_guidances/methodologicalGuide.shtml</w:t>
      </w:r>
    </w:p>
    <w:p w:rsidR="00526E44" w:rsidRDefault="00D64049" w:rsidP="00526E44">
      <w:pPr>
        <w:pStyle w:val="Literaturverzeichnis"/>
      </w:pPr>
      <w:r>
        <w:t xml:space="preserve">15. </w:t>
      </w:r>
      <w:r>
        <w:tab/>
        <w:t>European Medicines Agency (EMA). The ENCePP Code of Conduct For Scientific Independence and Transparency in the Conduct of Pharmacoepidemiological and Pharmacovigilance Studies. EMA/929209/2011 [Internet]. 2018. Available from: http://www.encepp.eu/code_of_conduct/documents/ENCePPCodeofConduct.pdf</w:t>
      </w:r>
    </w:p>
    <w:p w:rsidR="00526E44" w:rsidRDefault="00D64049" w:rsidP="00526E44">
      <w:pPr>
        <w:pStyle w:val="Literaturverzeichnis"/>
      </w:pPr>
      <w:r>
        <w:t xml:space="preserve">16. </w:t>
      </w:r>
      <w:r>
        <w:tab/>
        <w:t>Norwegian Patient Registry [Internet]. Available from: https://helsedirektoratet.no/english/norwegian-patient-registry</w:t>
      </w:r>
    </w:p>
    <w:p w:rsidR="00526E44" w:rsidRDefault="00D64049" w:rsidP="00526E44">
      <w:pPr>
        <w:pStyle w:val="Literaturverzeichnis"/>
      </w:pPr>
      <w:r>
        <w:t xml:space="preserve">17. </w:t>
      </w:r>
      <w:r>
        <w:tab/>
        <w:t xml:space="preserve">Schmidt M, Schmidt SAJ, Sandegaard JL, Ehrenstein V, Pedersen L, Sørensen HT. The Danish National Patient Registry: a review of content, data quality, and research potential. Clin Epidemiol. 2015;7:449–90. </w:t>
      </w:r>
    </w:p>
    <w:p w:rsidR="00526E44" w:rsidRDefault="00D64049" w:rsidP="00526E44">
      <w:pPr>
        <w:pStyle w:val="Literaturverzeichnis"/>
      </w:pPr>
      <w:r>
        <w:t xml:space="preserve">18. </w:t>
      </w:r>
      <w:r>
        <w:tab/>
        <w:t>Swedish National Patient Registry [Internet]. Available from: http://www.socialstyrelsen.se/register/halsodataregister/patientregistret/inenglish</w:t>
      </w:r>
    </w:p>
    <w:p w:rsidR="00526E44" w:rsidRDefault="00D64049" w:rsidP="00526E44">
      <w:pPr>
        <w:pStyle w:val="Literaturverzeichnis"/>
      </w:pPr>
      <w:r>
        <w:lastRenderedPageBreak/>
        <w:t xml:space="preserve">19. </w:t>
      </w:r>
      <w:r>
        <w:tab/>
        <w:t xml:space="preserve">Pacurariu A, Plueschke K, Olmo CA, Kurz X. Imposed registries within the European postmarketing surveillance system: Extended analysis and lessons learned for regulators. Pharmacoepidemiol Drug Saf. 2018 Jul;27(7):823–6. </w:t>
      </w:r>
    </w:p>
    <w:p w:rsidR="00526E44" w:rsidRDefault="00D64049" w:rsidP="00526E44">
      <w:pPr>
        <w:pStyle w:val="Literaturverzeichnis"/>
      </w:pPr>
      <w:r>
        <w:t xml:space="preserve">20. </w:t>
      </w:r>
      <w:r>
        <w:tab/>
        <w:t>European Medicines Agency (EMA). Guideline on good pharmacovigilance practices (GVP) Module VIII – Post-authorisation safety studies (Rev 3). EMA/813938/2011 Rev 3* [Internet]. 2017. Available from: http://www.ema.europa.eu/docs/en_GB/document_library/Scientific_guideline/2012/06/WC500129137.pdf</w:t>
      </w:r>
    </w:p>
    <w:p w:rsidR="00526E44" w:rsidRDefault="00D64049" w:rsidP="00526E44">
      <w:pPr>
        <w:pStyle w:val="Literaturverzeichnis"/>
      </w:pPr>
      <w:r>
        <w:t xml:space="preserve">21. </w:t>
      </w:r>
      <w:r>
        <w:tab/>
        <w:t>European Medicines Agency (EMA). Guideline on good pharmacovigilance practices (GVP) Module VI – Collection, management and submission of reports of suspected adverse reactions to medicinal products (Rev 2) EMA/873138/2011 Rev 2* [Internet]. 2017. Available from: http://www.ema.europa.eu/docs/en_GB/document_library/Regulatory_and_procedural_guideline/2017/08/WC500232767.pdf</w:t>
      </w:r>
    </w:p>
    <w:p w:rsidR="00526E44" w:rsidRDefault="00D64049" w:rsidP="00526E44">
      <w:pPr>
        <w:pStyle w:val="Literaturverzeichnis"/>
      </w:pPr>
      <w:r>
        <w:t xml:space="preserve">22. </w:t>
      </w:r>
      <w:r>
        <w:tab/>
        <w:t>European Medicines Agency (EMA). Scientific guidance on post-authorisation efficacy studies. EMA/PDCO/CAT/CMDh/PRAC/CHMP/261500/2015 [Internet]. 2016. Available from: http://www.ema.europa.eu/docs/en_GB/document_library/Scientific_guideline/2016/12/WC500219040.pdf</w:t>
      </w:r>
    </w:p>
    <w:p w:rsidR="00526E44" w:rsidRDefault="00D64049" w:rsidP="00526E44">
      <w:pPr>
        <w:pStyle w:val="Literaturverzeichnis"/>
      </w:pPr>
      <w:r>
        <w:t xml:space="preserve">23. </w:t>
      </w:r>
      <w:r>
        <w:tab/>
        <w:t xml:space="preserve">Pacurariu A., Plueschke K, McGettigan P, Morales D R, Slattery J, Vogl D, et al. Electronic healthcare databases in Europe: descriptive analysis of characteristics and potential for use in medicines regulation. </w:t>
      </w:r>
      <w:r w:rsidRPr="00B460FE">
        <w:t xml:space="preserve">BMJ Open </w:t>
      </w:r>
      <w:r w:rsidRPr="00B460FE">
        <w:rPr>
          <w:rFonts w:cs="HelveticaNeueLTStd-Cn"/>
          <w:lang w:val="en-US" w:eastAsia="en-US"/>
        </w:rPr>
        <w:t>2018;</w:t>
      </w:r>
      <w:r w:rsidRPr="00B460FE">
        <w:rPr>
          <w:rFonts w:cs="HelveticaNeueLTStd-BdCn"/>
          <w:lang w:val="en-US" w:eastAsia="en-US"/>
        </w:rPr>
        <w:t>8</w:t>
      </w:r>
      <w:r w:rsidRPr="00B460FE">
        <w:rPr>
          <w:rFonts w:cs="HelveticaNeueLTStd-Cn"/>
          <w:lang w:val="en-US" w:eastAsia="en-US"/>
        </w:rPr>
        <w:t>:e023090. doi:10.1136/bmjopen-2018-023090</w:t>
      </w:r>
    </w:p>
    <w:p w:rsidR="00526E44" w:rsidRDefault="00D64049" w:rsidP="00526E44">
      <w:pPr>
        <w:pStyle w:val="Literaturverzeichnis"/>
      </w:pPr>
      <w:r>
        <w:t xml:space="preserve">24. </w:t>
      </w:r>
      <w:r>
        <w:tab/>
        <w:t>JRC EU RD Platform releases the Set of Common Data Elements for RD Registration [Internet]. Available from: http://www.erare.eu/news/jrc-eu-rd-platform-releases-set-common-data-elements-rd-registration</w:t>
      </w:r>
    </w:p>
    <w:p w:rsidR="00526E44" w:rsidRDefault="00D64049" w:rsidP="00526E44">
      <w:pPr>
        <w:pStyle w:val="Literaturverzeichnis"/>
      </w:pPr>
      <w:r>
        <w:t xml:space="preserve">25. </w:t>
      </w:r>
      <w:r>
        <w:tab/>
        <w:t>SNOMED International. SNOMED CT. The Global Language of Healthcare. [Internet]. Available from: https://www.snomed.org/snomed-ct</w:t>
      </w:r>
    </w:p>
    <w:p w:rsidR="00526E44" w:rsidRDefault="00D64049" w:rsidP="00526E44">
      <w:pPr>
        <w:pStyle w:val="Literaturverzeichnis"/>
      </w:pPr>
      <w:r>
        <w:t xml:space="preserve">26. </w:t>
      </w:r>
      <w:r>
        <w:tab/>
        <w:t>NIH. U.S. National Library of Medicine. SNOMED CT to ICD-10-CM Map [Internet]. Available from: https://www.nlm.nih.gov/research/umls/mapping_projects/snomedct_to_icd10cm.html</w:t>
      </w:r>
    </w:p>
    <w:p w:rsidR="00526E44" w:rsidRDefault="00D64049" w:rsidP="00526E44">
      <w:pPr>
        <w:pStyle w:val="Literaturverzeichnis"/>
      </w:pPr>
      <w:r>
        <w:t xml:space="preserve">27. </w:t>
      </w:r>
      <w:r>
        <w:tab/>
        <w:t>NIH. U.S. National Library of Medicine. Unified Medical Language System® (UMLS®) [Internet]. Available from: https://www.nlm.nih.gov/research/umls/rxnorm/</w:t>
      </w:r>
    </w:p>
    <w:p w:rsidR="00526E44" w:rsidRDefault="00D64049" w:rsidP="00526E44">
      <w:pPr>
        <w:pStyle w:val="Literaturverzeichnis"/>
      </w:pPr>
      <w:r>
        <w:t xml:space="preserve">28. </w:t>
      </w:r>
      <w:r>
        <w:tab/>
        <w:t xml:space="preserve">Kurz X, Bauchau V, Mahy P, Glismann S, van der Aa LM, Simondon F. The ADVANCE Code of Conduct for collaborative vaccine studies. Vaccine. 2017 Apr 4;35(15):1844–55. </w:t>
      </w:r>
    </w:p>
    <w:p w:rsidR="00526E44" w:rsidRDefault="00D64049" w:rsidP="00526E44">
      <w:pPr>
        <w:pStyle w:val="Literaturverzeichnis"/>
      </w:pPr>
      <w:r>
        <w:t xml:space="preserve">29. </w:t>
      </w:r>
      <w:r>
        <w:tab/>
        <w:t>European Medicines Agency (EMA). European Medicines Agency policy on access to documents. POLICY/0043. EMA/729522/2016 [Internet]. 2017. Available from: http://www.ema.europa.eu/docs/en_GB/document_library/Other/2017/02/WC500221814.pdf</w:t>
      </w:r>
    </w:p>
    <w:p w:rsidR="00526E44" w:rsidRDefault="00D64049" w:rsidP="00526E44">
      <w:pPr>
        <w:pStyle w:val="Literaturverzeichnis"/>
      </w:pPr>
      <w:r>
        <w:t xml:space="preserve">30. </w:t>
      </w:r>
      <w:r>
        <w:tab/>
        <w:t>EU General Data Protection Regulation (GDPR) [Internet]. Available from: https://www.eugdpr.org/</w:t>
      </w:r>
    </w:p>
    <w:p w:rsidR="00526E44" w:rsidRDefault="00D64049" w:rsidP="00526E44">
      <w:pPr>
        <w:pStyle w:val="Literaturverzeichnis"/>
      </w:pPr>
      <w:r>
        <w:t xml:space="preserve">31. </w:t>
      </w:r>
      <w:r>
        <w:tab/>
        <w:t>European Commission. DIRECTIVE 2001/83/EC OF THE EUROPEAN PARLIAMENT AND OF THE COUNCIL of 6 November 2001 on the Community code relating to medicinal products for human use [Internet]. Available from: https://ec.europa.eu/health//sites/health/files/files/eudralex/vol-1/dir_2001_83_consol_2012/dir_2001_83_cons_2012_en.pdf</w:t>
      </w:r>
    </w:p>
    <w:p w:rsidR="00526E44" w:rsidRDefault="00D64049" w:rsidP="00526E44">
      <w:pPr>
        <w:pStyle w:val="Literaturverzeichnis"/>
      </w:pPr>
      <w:r>
        <w:t xml:space="preserve">32. </w:t>
      </w:r>
      <w:r>
        <w:tab/>
        <w:t>European Commission. COMMISSION IMPLEMENTING REGULATION (EU) No 520/2012 of 19 June 2012 on the performance of pharmacovigilance activities provided for in Regulation (EC) No 726/2004 of the European Parliament and of the Council and Directive 2001/83/EC of the European Parliament and of the Council (Text with EEA relevance) [Internet]. Available from: https://eur-lex.europa.eu/LexUriServ/LexUriServ.do?uri=OJ:L:2012:159:0005:0025:EN:PDF</w:t>
      </w:r>
    </w:p>
    <w:p w:rsidR="00526E44" w:rsidRDefault="00D64049" w:rsidP="00526E44">
      <w:pPr>
        <w:pStyle w:val="Literaturverzeichnis"/>
      </w:pPr>
      <w:r>
        <w:t xml:space="preserve">33. </w:t>
      </w:r>
      <w:r>
        <w:tab/>
        <w:t>European Commission. REGULATION (EC) No 726/2004 OF THE EUROPEAN PARLIAMENT AND OF THE COUNCIL of 31 March 2004 laying down Community procedures for the authorisation and supervision of medicinal products for human and veterinary use and establishing a European Medicines Agency (Text with EEA relevance) (OJ L 136, 30.4.2004, p. 1) [Internet]. Available from: https://eur-lex.europa.eu/LexUriServ/LexUriServ.do?uri=CONSLEG:2004R0726:20120702:EN:PDF</w:t>
      </w:r>
    </w:p>
    <w:p w:rsidR="00526E44" w:rsidRDefault="00D64049" w:rsidP="00526E44">
      <w:pPr>
        <w:pStyle w:val="Literaturverzeichnis"/>
      </w:pPr>
      <w:r>
        <w:t xml:space="preserve">34. </w:t>
      </w:r>
      <w:r>
        <w:tab/>
        <w:t>ENCePP, European Network of Centres for Pharmacoepidemiology and Pharmacovigilance. ENCePP Resources Database [Internet]. [cited 2018 Aug 28]. Available from: http://www.encepp.eu/encepp/resourcesDatabase.jsp</w:t>
      </w:r>
    </w:p>
    <w:p w:rsidR="00526E44" w:rsidRPr="006B7EEA" w:rsidRDefault="00D64049" w:rsidP="00526E44">
      <w:r>
        <w:t>35</w:t>
      </w:r>
      <w:r w:rsidRPr="006B7EEA">
        <w:t xml:space="preserve">. </w:t>
      </w:r>
      <w:r w:rsidRPr="006B7EEA">
        <w:tab/>
        <w:t>ENCePP, European Network of Centres for Pharmacoepidemiology and Pharmacovigilance. ENCePP Checklist for Study Protocols. Revision 4 [Internet]. Available from: http://www.encepp.eu/standards_and_guidances/checkListProtocols.shtml</w:t>
      </w:r>
    </w:p>
    <w:p w:rsidR="00526E44" w:rsidRDefault="00D64049" w:rsidP="00526E44">
      <w:pPr>
        <w:pStyle w:val="Literaturverzeichnis"/>
      </w:pPr>
      <w:r>
        <w:t xml:space="preserve">36. </w:t>
      </w:r>
      <w:r>
        <w:tab/>
        <w:t>European Medicines Agency (EMA). Guidance for the format and content of the protocol of non-interventional post-authorisation safety studies EMA/623947/2012 [Internet]. 2012. Available from: http://www.ema.europa.eu/docs/en_GB/document_library/Other/2012/10/WC500133174.pdf</w:t>
      </w:r>
    </w:p>
    <w:p w:rsidR="00526E44" w:rsidRDefault="00D64049" w:rsidP="00526E44">
      <w:pPr>
        <w:pStyle w:val="Literaturverzeichnis"/>
      </w:pPr>
      <w:r>
        <w:t xml:space="preserve">37. </w:t>
      </w:r>
      <w:r>
        <w:tab/>
        <w:t xml:space="preserve">European Commission. The Rules Governing Medicinal Products in the European Union. Volume 10 - Guidance documents applying to clinical trials. Questions &amp; Answers. Version 11.0 (May 2013). </w:t>
      </w:r>
      <w:r>
        <w:lastRenderedPageBreak/>
        <w:t xml:space="preserve">Draft – Submitted for discussion to the ad-hoc group for the development of implementing guidelines for the “Clinical  Trials Directive” 2001/20/EC. </w:t>
      </w:r>
    </w:p>
    <w:p w:rsidR="009230D1" w:rsidRPr="0029175B" w:rsidRDefault="00D64049" w:rsidP="001C679A">
      <w:pPr>
        <w:pStyle w:val="Literaturverzeichnis"/>
      </w:pPr>
      <w:r>
        <w:t xml:space="preserve">38. </w:t>
      </w:r>
      <w:r>
        <w:tab/>
        <w:t>European Medicines Agency (EMA). Guidance for the format and content of the final study report of non-interventional post-authorisation safety studies. EMA/48663/2013 [Internet]. 2013. Available from: http://www.ema.europa.eu/docs/en_GB/document_library/Regulatory_and_procedural_guideline/2013/01/WC500137939.pdf</w:t>
      </w:r>
      <w:r w:rsidRPr="00507CD9">
        <w:fldChar w:fldCharType="end"/>
      </w:r>
    </w:p>
    <w:sectPr w:rsidR="009230D1" w:rsidRPr="0029175B" w:rsidSect="00CE7182">
      <w:headerReference w:type="even" r:id="rId22"/>
      <w:headerReference w:type="default" r:id="rId23"/>
      <w:footerReference w:type="even" r:id="rId24"/>
      <w:footerReference w:type="default" r:id="rId25"/>
      <w:headerReference w:type="first" r:id="rId26"/>
      <w:footerReference w:type="first" r:id="rId27"/>
      <w:pgSz w:w="11907" w:h="16839" w:code="9"/>
      <w:pgMar w:top="1418" w:right="1247" w:bottom="1418" w:left="1247" w:header="284" w:footer="68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D5C" w:rsidRDefault="00715D5C">
      <w:r>
        <w:separator/>
      </w:r>
    </w:p>
  </w:endnote>
  <w:endnote w:type="continuationSeparator" w:id="0">
    <w:p w:rsidR="00715D5C" w:rsidRDefault="007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Segoe Print">
    <w:panose1 w:val="020008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20B0604020202020204"/>
    <w:charset w:val="00"/>
    <w:family w:val="roman"/>
    <w:notTrueType/>
    <w:pitch w:val="default"/>
    <w:sig w:usb0="00000003" w:usb1="00000000" w:usb2="00000000" w:usb3="00000000" w:csb0="00000001" w:csb1="00000000"/>
  </w:font>
  <w:font w:name="HelveticaNeueLTStd-Cn">
    <w:panose1 w:val="020B0604020202020204"/>
    <w:charset w:val="00"/>
    <w:family w:val="swiss"/>
    <w:notTrueType/>
    <w:pitch w:val="default"/>
    <w:sig w:usb0="00000003" w:usb1="00000000" w:usb2="00000000" w:usb3="00000000" w:csb0="00000001" w:csb1="00000000"/>
  </w:font>
  <w:font w:name="HelveticaNeueLTStd-BdC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FooterAgency"/>
    </w:pPr>
  </w:p>
  <w:tbl>
    <w:tblPr>
      <w:tblW w:w="5000" w:type="pct"/>
      <w:tblLook w:val="01E0" w:firstRow="1" w:lastRow="1" w:firstColumn="1" w:lastColumn="1" w:noHBand="0" w:noVBand="0"/>
    </w:tblPr>
    <w:tblGrid>
      <w:gridCol w:w="7370"/>
      <w:gridCol w:w="2043"/>
    </w:tblGrid>
    <w:tr w:rsidR="00D64049">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D64049" w:rsidRDefault="00D64049">
          <w:pPr>
            <w:pStyle w:val="FooterAgency"/>
          </w:pPr>
        </w:p>
        <w:p w:rsidR="00D64049" w:rsidRPr="00A44B87" w:rsidRDefault="00D64049">
          <w:pPr>
            <w:pStyle w:val="FooterAgency"/>
          </w:pPr>
          <w:r>
            <w:t>Discussion paper: use of patient disease registries for regulatory purposes</w:t>
          </w:r>
        </w:p>
      </w:tc>
    </w:tr>
    <w:tr w:rsidR="00D64049" w:rsidTr="00F80CCA">
      <w:tc>
        <w:tcPr>
          <w:tcW w:w="3915" w:type="pct"/>
          <w:shd w:val="clear" w:color="auto" w:fill="auto"/>
          <w:tcMar>
            <w:left w:w="0" w:type="dxa"/>
            <w:right w:w="0" w:type="dxa"/>
          </w:tcMar>
        </w:tcPr>
        <w:p w:rsidR="00D64049" w:rsidRPr="004D19D0" w:rsidRDefault="00D64049">
          <w:pPr>
            <w:pStyle w:val="FooterAgency"/>
            <w:rPr>
              <w:lang w:val="de-DE"/>
            </w:rPr>
          </w:pPr>
        </w:p>
      </w:tc>
      <w:tc>
        <w:tcPr>
          <w:tcW w:w="1085" w:type="pct"/>
          <w:shd w:val="clear" w:color="auto" w:fill="auto"/>
          <w:tcMar>
            <w:left w:w="0" w:type="dxa"/>
            <w:right w:w="0" w:type="dxa"/>
          </w:tcMar>
        </w:tcPr>
        <w:p w:rsidR="00D64049" w:rsidRPr="004D19D0" w:rsidRDefault="00D64049">
          <w:pPr>
            <w:pStyle w:val="FooterAgency"/>
            <w:rPr>
              <w:lang w:val="de-DE"/>
            </w:rPr>
          </w:pPr>
        </w:p>
      </w:tc>
    </w:tr>
    <w:tr w:rsidR="00D64049" w:rsidTr="00F80CCA">
      <w:tc>
        <w:tcPr>
          <w:tcW w:w="3915" w:type="pct"/>
          <w:shd w:val="clear" w:color="auto" w:fill="auto"/>
          <w:tcMar>
            <w:left w:w="0" w:type="dxa"/>
            <w:right w:w="0" w:type="dxa"/>
          </w:tcMar>
        </w:tcPr>
        <w:p w:rsidR="00D64049" w:rsidRPr="00A44B87" w:rsidRDefault="00D64049">
          <w:pPr>
            <w:pStyle w:val="FooterAgency"/>
          </w:pPr>
          <w:r w:rsidRPr="00505024">
            <w:rPr>
              <w:szCs w:val="15"/>
            </w:rPr>
            <w:t>EMA/644749/2018</w:t>
          </w:r>
        </w:p>
      </w:tc>
      <w:tc>
        <w:tcPr>
          <w:tcW w:w="1085" w:type="pct"/>
          <w:shd w:val="clear" w:color="auto" w:fill="auto"/>
          <w:tcMar>
            <w:left w:w="0" w:type="dxa"/>
            <w:right w:w="0" w:type="dxa"/>
          </w:tcMar>
        </w:tcPr>
        <w:p w:rsidR="00D64049" w:rsidRPr="000955BF" w:rsidRDefault="00D64049">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sidR="009245FB">
            <w:rPr>
              <w:rStyle w:val="PageNumberAgency0"/>
              <w:noProof/>
            </w:rPr>
            <w:t>5</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sidR="009245FB">
            <w:rPr>
              <w:rStyle w:val="PageNumberAgency0"/>
              <w:noProof/>
            </w:rPr>
            <w:t>46</w:t>
          </w:r>
          <w:r w:rsidRPr="000955BF">
            <w:rPr>
              <w:rStyle w:val="PageNumberAgency0"/>
            </w:rPr>
            <w:fldChar w:fldCharType="end"/>
          </w:r>
        </w:p>
      </w:tc>
    </w:tr>
  </w:tbl>
  <w:p w:rsidR="00D64049" w:rsidRDefault="00D64049" w:rsidP="001856FF">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206"/>
      <w:gridCol w:w="3207"/>
    </w:tblGrid>
    <w:tr w:rsidR="00D64049">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D64049" w:rsidRPr="00A44B87" w:rsidRDefault="00D64049">
          <w:pPr>
            <w:pStyle w:val="FooterAgency"/>
          </w:pPr>
        </w:p>
      </w:tc>
    </w:tr>
    <w:tr w:rsidR="00D64049">
      <w:trPr>
        <w:trHeight w:hRule="exact" w:val="198"/>
      </w:trPr>
      <w:tc>
        <w:tcPr>
          <w:tcW w:w="6206" w:type="dxa"/>
          <w:shd w:val="clear" w:color="auto" w:fill="auto"/>
          <w:tcMar>
            <w:left w:w="0" w:type="dxa"/>
            <w:right w:w="0" w:type="dxa"/>
          </w:tcMar>
          <w:vAlign w:val="bottom"/>
        </w:tcPr>
        <w:p w:rsidR="00D64049" w:rsidRPr="003A07BE" w:rsidRDefault="00D64049">
          <w:pPr>
            <w:pStyle w:val="FooterAgency"/>
          </w:pPr>
          <w:r>
            <w:t>30 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478"/>
            <w:gridCol w:w="709"/>
          </w:tblGrid>
          <w:tr w:rsidR="00D64049">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D64049" w:rsidRPr="00A44B87" w:rsidRDefault="00D64049">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D64049" w:rsidRPr="00A44B87" w:rsidRDefault="00D64049">
                <w:pPr>
                  <w:pStyle w:val="FooterAgency"/>
                  <w:jc w:val="right"/>
                </w:pPr>
                <w:r>
                  <w:rPr>
                    <w:noProof/>
                  </w:rPr>
                  <w:drawing>
                    <wp:inline distT="0" distB="0" distL="0" distR="0">
                      <wp:extent cx="389890" cy="270510"/>
                      <wp:effectExtent l="0" t="0" r="0" b="0"/>
                      <wp:docPr id="3" name="Picture 3" descr="EU Logo"/>
                      <wp:cNvGraphicFramePr/>
                      <a:graphic xmlns:a="http://schemas.openxmlformats.org/drawingml/2006/main">
                        <a:graphicData uri="http://schemas.openxmlformats.org/drawingml/2006/picture">
                          <pic:pic xmlns:pic="http://schemas.openxmlformats.org/drawingml/2006/picture">
                            <pic:nvPicPr>
                              <pic:cNvPr id="587240111" name="Picture 3" descr="EU Logo"/>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9890" cy="270510"/>
                              </a:xfrm>
                              <a:prstGeom prst="rect">
                                <a:avLst/>
                              </a:prstGeom>
                              <a:noFill/>
                              <a:ln>
                                <a:noFill/>
                              </a:ln>
                            </pic:spPr>
                          </pic:pic>
                        </a:graphicData>
                      </a:graphic>
                    </wp:inline>
                  </w:drawing>
                </w:r>
              </w:p>
            </w:tc>
          </w:tr>
          <w:tr w:rsidR="00D64049">
            <w:trPr>
              <w:trHeight w:val="390"/>
              <w:jc w:val="right"/>
            </w:trPr>
            <w:tc>
              <w:tcPr>
                <w:tcW w:w="2478" w:type="dxa"/>
                <w:vMerge/>
                <w:shd w:val="clear" w:color="auto" w:fill="auto"/>
              </w:tcPr>
              <w:p w:rsidR="00D64049" w:rsidRPr="00A44B87" w:rsidRDefault="00D64049">
                <w:pPr>
                  <w:pStyle w:val="FooterAgency"/>
                </w:pPr>
              </w:p>
            </w:tc>
            <w:tc>
              <w:tcPr>
                <w:tcW w:w="709" w:type="dxa"/>
                <w:vMerge/>
                <w:shd w:val="clear" w:color="auto" w:fill="auto"/>
              </w:tcPr>
              <w:p w:rsidR="00D64049" w:rsidRPr="00A44B87" w:rsidRDefault="00D64049">
                <w:pPr>
                  <w:pStyle w:val="FooterAgency"/>
                </w:pPr>
              </w:p>
            </w:tc>
          </w:tr>
        </w:tbl>
        <w:p w:rsidR="00D64049" w:rsidRPr="00A44B87" w:rsidRDefault="00D64049">
          <w:pPr>
            <w:pStyle w:val="FooterAgency"/>
            <w:widowControl w:val="0"/>
            <w:adjustRightInd w:val="0"/>
            <w:jc w:val="right"/>
          </w:pPr>
        </w:p>
      </w:tc>
    </w:tr>
    <w:tr w:rsidR="00D64049">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D64049">
            <w:trPr>
              <w:trHeight w:hRule="exact" w:val="198"/>
            </w:trPr>
            <w:tc>
              <w:tcPr>
                <w:tcW w:w="840" w:type="dxa"/>
                <w:vAlign w:val="bottom"/>
              </w:tcPr>
              <w:p w:rsidR="00D64049" w:rsidRPr="003A07BE" w:rsidRDefault="00D64049">
                <w:pPr>
                  <w:pStyle w:val="FooterblueAgency"/>
                </w:pPr>
                <w:r w:rsidRPr="003A07BE">
                  <w:t>Telephone</w:t>
                </w:r>
              </w:p>
            </w:tc>
            <w:tc>
              <w:tcPr>
                <w:tcW w:w="1648" w:type="dxa"/>
                <w:vAlign w:val="bottom"/>
              </w:tcPr>
              <w:p w:rsidR="00D64049" w:rsidRPr="003A07BE" w:rsidRDefault="00D64049">
                <w:pPr>
                  <w:pStyle w:val="FooterAgency"/>
                </w:pPr>
                <w:r w:rsidRPr="003A07BE">
                  <w:t xml:space="preserve">+44 (0)20 </w:t>
                </w:r>
                <w:r>
                  <w:t>3660</w:t>
                </w:r>
                <w:r w:rsidRPr="003A07BE">
                  <w:t xml:space="preserve"> </w:t>
                </w:r>
                <w:r>
                  <w:t>6000</w:t>
                </w:r>
              </w:p>
            </w:tc>
            <w:tc>
              <w:tcPr>
                <w:tcW w:w="726" w:type="dxa"/>
                <w:vAlign w:val="bottom"/>
              </w:tcPr>
              <w:p w:rsidR="00D64049" w:rsidRPr="003A07BE" w:rsidRDefault="00D64049">
                <w:pPr>
                  <w:pStyle w:val="FooterblueAgency"/>
                </w:pPr>
                <w:r w:rsidRPr="003A07BE">
                  <w:t>Facsimile</w:t>
                </w:r>
              </w:p>
            </w:tc>
            <w:tc>
              <w:tcPr>
                <w:tcW w:w="2767" w:type="dxa"/>
                <w:vAlign w:val="bottom"/>
              </w:tcPr>
              <w:p w:rsidR="00D64049" w:rsidRPr="003A07BE" w:rsidRDefault="00D64049">
                <w:pPr>
                  <w:pStyle w:val="FooterAgency"/>
                </w:pPr>
                <w:r w:rsidRPr="003A07BE">
                  <w:t xml:space="preserve">+44 (0)20 </w:t>
                </w:r>
                <w:bookmarkStart w:id="130" w:name="Foot"/>
                <w:r>
                  <w:t>02036605555</w:t>
                </w:r>
                <w:bookmarkEnd w:id="130"/>
              </w:p>
            </w:tc>
          </w:tr>
          <w:tr w:rsidR="00D64049">
            <w:trPr>
              <w:trHeight w:hRule="exact" w:val="198"/>
            </w:trPr>
            <w:tc>
              <w:tcPr>
                <w:tcW w:w="5981" w:type="dxa"/>
                <w:gridSpan w:val="4"/>
                <w:vAlign w:val="bottom"/>
              </w:tcPr>
              <w:p w:rsidR="00D64049" w:rsidRPr="00584092" w:rsidRDefault="00D64049">
                <w:pPr>
                  <w:pStyle w:val="FooterAgency"/>
                </w:pPr>
                <w:r w:rsidRPr="00584092">
                  <w:rPr>
                    <w:rStyle w:val="FooterblueAgencyCharChar"/>
                  </w:rPr>
                  <w:t>Send a question via our website</w:t>
                </w:r>
                <w:r w:rsidRPr="00584092">
                  <w:t xml:space="preserve"> www.ema.europa.eu/contact</w:t>
                </w:r>
              </w:p>
            </w:tc>
          </w:tr>
        </w:tbl>
        <w:p w:rsidR="00D64049" w:rsidRPr="003A07BE" w:rsidRDefault="00D64049">
          <w:pPr>
            <w:pStyle w:val="FooterAgency"/>
          </w:pPr>
        </w:p>
      </w:tc>
      <w:tc>
        <w:tcPr>
          <w:tcW w:w="3207" w:type="dxa"/>
          <w:vMerge/>
          <w:shd w:val="clear" w:color="auto" w:fill="auto"/>
          <w:tcMar>
            <w:left w:w="0" w:type="dxa"/>
            <w:right w:w="0" w:type="dxa"/>
          </w:tcMar>
          <w:vAlign w:val="bottom"/>
        </w:tcPr>
        <w:p w:rsidR="00D64049" w:rsidRPr="00A44B87" w:rsidRDefault="00D64049">
          <w:pPr>
            <w:pStyle w:val="FooterAgency"/>
          </w:pPr>
        </w:p>
      </w:tc>
    </w:tr>
    <w:tr w:rsidR="00D64049">
      <w:tc>
        <w:tcPr>
          <w:tcW w:w="9413" w:type="dxa"/>
          <w:gridSpan w:val="2"/>
          <w:shd w:val="clear" w:color="auto" w:fill="auto"/>
          <w:tcMar>
            <w:left w:w="0" w:type="dxa"/>
            <w:right w:w="0" w:type="dxa"/>
          </w:tcMar>
          <w:vAlign w:val="bottom"/>
        </w:tcPr>
        <w:p w:rsidR="00D64049" w:rsidRPr="00A44B87" w:rsidRDefault="00D64049">
          <w:pPr>
            <w:pStyle w:val="FooterAgency"/>
          </w:pPr>
        </w:p>
      </w:tc>
    </w:tr>
    <w:tr w:rsidR="00D64049">
      <w:tc>
        <w:tcPr>
          <w:tcW w:w="9413" w:type="dxa"/>
          <w:gridSpan w:val="2"/>
          <w:shd w:val="clear" w:color="auto" w:fill="auto"/>
          <w:tcMar>
            <w:left w:w="0" w:type="dxa"/>
            <w:right w:w="0" w:type="dxa"/>
          </w:tcMar>
          <w:vAlign w:val="bottom"/>
        </w:tcPr>
        <w:p w:rsidR="00D64049" w:rsidRPr="00CE789B" w:rsidRDefault="00D64049">
          <w:pPr>
            <w:pStyle w:val="FooterAgency"/>
            <w:jc w:val="center"/>
          </w:pPr>
          <w:r w:rsidRPr="00CE789B">
            <w:t xml:space="preserve">© European Medicines Agency, </w:t>
          </w:r>
          <w:r>
            <w:fldChar w:fldCharType="begin"/>
          </w:r>
          <w:r>
            <w:instrText xml:space="preserve"> DATE  \@ "yyyy"  \* MERGEFORMAT </w:instrText>
          </w:r>
          <w:r>
            <w:fldChar w:fldCharType="separate"/>
          </w:r>
          <w:r w:rsidR="00E604E7">
            <w:rPr>
              <w:noProof/>
            </w:rPr>
            <w:t>2018</w:t>
          </w:r>
          <w:r>
            <w:fldChar w:fldCharType="end"/>
          </w:r>
          <w:r w:rsidRPr="00CE789B">
            <w:t>. Reproduction is authorised provided the source is acknowledged.</w:t>
          </w:r>
        </w:p>
      </w:tc>
    </w:tr>
  </w:tbl>
  <w:p w:rsidR="00D64049" w:rsidRDefault="00D64049" w:rsidP="001856FF">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D5C" w:rsidRDefault="00715D5C">
      <w:r>
        <w:separator/>
      </w:r>
    </w:p>
  </w:footnote>
  <w:footnote w:type="continuationSeparator" w:id="0">
    <w:p w:rsidR="00715D5C" w:rsidRDefault="0071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rsidP="00B636AF">
    <w:pPr>
      <w:pStyle w:val="HeaderAgency"/>
      <w:jc w:val="center"/>
    </w:pPr>
    <w:r>
      <w:rPr>
        <w:noProof/>
      </w:rPr>
      <w:drawing>
        <wp:inline distT="0" distB="0" distL="0" distR="0">
          <wp:extent cx="3562350" cy="1804670"/>
          <wp:effectExtent l="0" t="0" r="0" b="508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6461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80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75"/>
    <w:multiLevelType w:val="hybridMultilevel"/>
    <w:tmpl w:val="2690F0A2"/>
    <w:lvl w:ilvl="0" w:tplc="BA9A2FE0">
      <w:start w:val="1"/>
      <w:numFmt w:val="bullet"/>
      <w:lvlText w:val="-"/>
      <w:lvlJc w:val="left"/>
      <w:pPr>
        <w:ind w:left="720" w:hanging="360"/>
      </w:pPr>
      <w:rPr>
        <w:rFonts w:ascii="Verdana" w:hAnsi="Verdana" w:hint="default"/>
      </w:rPr>
    </w:lvl>
    <w:lvl w:ilvl="1" w:tplc="ED767B16" w:tentative="1">
      <w:start w:val="1"/>
      <w:numFmt w:val="bullet"/>
      <w:lvlText w:val="o"/>
      <w:lvlJc w:val="left"/>
      <w:pPr>
        <w:ind w:left="1440" w:hanging="360"/>
      </w:pPr>
      <w:rPr>
        <w:rFonts w:ascii="Courier New" w:hAnsi="Courier New" w:cs="Courier New" w:hint="default"/>
      </w:rPr>
    </w:lvl>
    <w:lvl w:ilvl="2" w:tplc="87C05188" w:tentative="1">
      <w:start w:val="1"/>
      <w:numFmt w:val="bullet"/>
      <w:lvlText w:val=""/>
      <w:lvlJc w:val="left"/>
      <w:pPr>
        <w:ind w:left="2160" w:hanging="360"/>
      </w:pPr>
      <w:rPr>
        <w:rFonts w:ascii="Wingdings" w:hAnsi="Wingdings" w:hint="default"/>
      </w:rPr>
    </w:lvl>
    <w:lvl w:ilvl="3" w:tplc="267A941A" w:tentative="1">
      <w:start w:val="1"/>
      <w:numFmt w:val="bullet"/>
      <w:lvlText w:val=""/>
      <w:lvlJc w:val="left"/>
      <w:pPr>
        <w:ind w:left="2880" w:hanging="360"/>
      </w:pPr>
      <w:rPr>
        <w:rFonts w:ascii="Symbol" w:hAnsi="Symbol" w:hint="default"/>
      </w:rPr>
    </w:lvl>
    <w:lvl w:ilvl="4" w:tplc="48DA4B6A" w:tentative="1">
      <w:start w:val="1"/>
      <w:numFmt w:val="bullet"/>
      <w:lvlText w:val="o"/>
      <w:lvlJc w:val="left"/>
      <w:pPr>
        <w:ind w:left="3600" w:hanging="360"/>
      </w:pPr>
      <w:rPr>
        <w:rFonts w:ascii="Courier New" w:hAnsi="Courier New" w:cs="Courier New" w:hint="default"/>
      </w:rPr>
    </w:lvl>
    <w:lvl w:ilvl="5" w:tplc="B27CB5FC" w:tentative="1">
      <w:start w:val="1"/>
      <w:numFmt w:val="bullet"/>
      <w:lvlText w:val=""/>
      <w:lvlJc w:val="left"/>
      <w:pPr>
        <w:ind w:left="4320" w:hanging="360"/>
      </w:pPr>
      <w:rPr>
        <w:rFonts w:ascii="Wingdings" w:hAnsi="Wingdings" w:hint="default"/>
      </w:rPr>
    </w:lvl>
    <w:lvl w:ilvl="6" w:tplc="FDE83EA6" w:tentative="1">
      <w:start w:val="1"/>
      <w:numFmt w:val="bullet"/>
      <w:lvlText w:val=""/>
      <w:lvlJc w:val="left"/>
      <w:pPr>
        <w:ind w:left="5040" w:hanging="360"/>
      </w:pPr>
      <w:rPr>
        <w:rFonts w:ascii="Symbol" w:hAnsi="Symbol" w:hint="default"/>
      </w:rPr>
    </w:lvl>
    <w:lvl w:ilvl="7" w:tplc="D3561A7A" w:tentative="1">
      <w:start w:val="1"/>
      <w:numFmt w:val="bullet"/>
      <w:lvlText w:val="o"/>
      <w:lvlJc w:val="left"/>
      <w:pPr>
        <w:ind w:left="5760" w:hanging="360"/>
      </w:pPr>
      <w:rPr>
        <w:rFonts w:ascii="Courier New" w:hAnsi="Courier New" w:cs="Courier New" w:hint="default"/>
      </w:rPr>
    </w:lvl>
    <w:lvl w:ilvl="8" w:tplc="F906F01E" w:tentative="1">
      <w:start w:val="1"/>
      <w:numFmt w:val="bullet"/>
      <w:lvlText w:val=""/>
      <w:lvlJc w:val="left"/>
      <w:pPr>
        <w:ind w:left="6480" w:hanging="360"/>
      </w:pPr>
      <w:rPr>
        <w:rFonts w:ascii="Wingdings" w:hAnsi="Wingdings" w:hint="default"/>
      </w:r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5DE29C4"/>
    <w:multiLevelType w:val="hybridMultilevel"/>
    <w:tmpl w:val="E6A607C6"/>
    <w:lvl w:ilvl="0" w:tplc="41F0029E">
      <w:start w:val="1"/>
      <w:numFmt w:val="bullet"/>
      <w:lvlText w:val=""/>
      <w:lvlJc w:val="left"/>
      <w:pPr>
        <w:ind w:left="720" w:hanging="360"/>
      </w:pPr>
      <w:rPr>
        <w:rFonts w:ascii="Symbol" w:hAnsi="Symbol" w:hint="default"/>
      </w:rPr>
    </w:lvl>
    <w:lvl w:ilvl="1" w:tplc="D4566674" w:tentative="1">
      <w:start w:val="1"/>
      <w:numFmt w:val="bullet"/>
      <w:lvlText w:val="o"/>
      <w:lvlJc w:val="left"/>
      <w:pPr>
        <w:ind w:left="1440" w:hanging="360"/>
      </w:pPr>
      <w:rPr>
        <w:rFonts w:ascii="Courier New" w:hAnsi="Courier New" w:cs="Courier New" w:hint="default"/>
      </w:rPr>
    </w:lvl>
    <w:lvl w:ilvl="2" w:tplc="E612CB9A" w:tentative="1">
      <w:start w:val="1"/>
      <w:numFmt w:val="bullet"/>
      <w:lvlText w:val=""/>
      <w:lvlJc w:val="left"/>
      <w:pPr>
        <w:ind w:left="2160" w:hanging="360"/>
      </w:pPr>
      <w:rPr>
        <w:rFonts w:ascii="Wingdings" w:hAnsi="Wingdings" w:hint="default"/>
      </w:rPr>
    </w:lvl>
    <w:lvl w:ilvl="3" w:tplc="817A87E2" w:tentative="1">
      <w:start w:val="1"/>
      <w:numFmt w:val="bullet"/>
      <w:lvlText w:val=""/>
      <w:lvlJc w:val="left"/>
      <w:pPr>
        <w:ind w:left="2880" w:hanging="360"/>
      </w:pPr>
      <w:rPr>
        <w:rFonts w:ascii="Symbol" w:hAnsi="Symbol" w:hint="default"/>
      </w:rPr>
    </w:lvl>
    <w:lvl w:ilvl="4" w:tplc="8A347E64" w:tentative="1">
      <w:start w:val="1"/>
      <w:numFmt w:val="bullet"/>
      <w:lvlText w:val="o"/>
      <w:lvlJc w:val="left"/>
      <w:pPr>
        <w:ind w:left="3600" w:hanging="360"/>
      </w:pPr>
      <w:rPr>
        <w:rFonts w:ascii="Courier New" w:hAnsi="Courier New" w:cs="Courier New" w:hint="default"/>
      </w:rPr>
    </w:lvl>
    <w:lvl w:ilvl="5" w:tplc="4AE479AC" w:tentative="1">
      <w:start w:val="1"/>
      <w:numFmt w:val="bullet"/>
      <w:lvlText w:val=""/>
      <w:lvlJc w:val="left"/>
      <w:pPr>
        <w:ind w:left="4320" w:hanging="360"/>
      </w:pPr>
      <w:rPr>
        <w:rFonts w:ascii="Wingdings" w:hAnsi="Wingdings" w:hint="default"/>
      </w:rPr>
    </w:lvl>
    <w:lvl w:ilvl="6" w:tplc="3E5CCF4A" w:tentative="1">
      <w:start w:val="1"/>
      <w:numFmt w:val="bullet"/>
      <w:lvlText w:val=""/>
      <w:lvlJc w:val="left"/>
      <w:pPr>
        <w:ind w:left="5040" w:hanging="360"/>
      </w:pPr>
      <w:rPr>
        <w:rFonts w:ascii="Symbol" w:hAnsi="Symbol" w:hint="default"/>
      </w:rPr>
    </w:lvl>
    <w:lvl w:ilvl="7" w:tplc="C0FE60B8" w:tentative="1">
      <w:start w:val="1"/>
      <w:numFmt w:val="bullet"/>
      <w:lvlText w:val="o"/>
      <w:lvlJc w:val="left"/>
      <w:pPr>
        <w:ind w:left="5760" w:hanging="360"/>
      </w:pPr>
      <w:rPr>
        <w:rFonts w:ascii="Courier New" w:hAnsi="Courier New" w:cs="Courier New" w:hint="default"/>
      </w:rPr>
    </w:lvl>
    <w:lvl w:ilvl="8" w:tplc="D4F0719A" w:tentative="1">
      <w:start w:val="1"/>
      <w:numFmt w:val="bullet"/>
      <w:lvlText w:val=""/>
      <w:lvlJc w:val="left"/>
      <w:pPr>
        <w:ind w:left="6480" w:hanging="360"/>
      </w:pPr>
      <w:rPr>
        <w:rFonts w:ascii="Wingdings" w:hAnsi="Wingdings" w:hint="default"/>
      </w:rPr>
    </w:lvl>
  </w:abstractNum>
  <w:abstractNum w:abstractNumId="5" w15:restartNumberingAfterBreak="0">
    <w:nsid w:val="16864E54"/>
    <w:multiLevelType w:val="hybridMultilevel"/>
    <w:tmpl w:val="642C4674"/>
    <w:lvl w:ilvl="0" w:tplc="D4FA2DEC">
      <w:start w:val="1"/>
      <w:numFmt w:val="bullet"/>
      <w:lvlText w:val=""/>
      <w:lvlJc w:val="left"/>
      <w:pPr>
        <w:ind w:left="720" w:hanging="360"/>
      </w:pPr>
      <w:rPr>
        <w:rFonts w:ascii="Symbol" w:hAnsi="Symbol" w:hint="default"/>
      </w:rPr>
    </w:lvl>
    <w:lvl w:ilvl="1" w:tplc="2676C768" w:tentative="1">
      <w:start w:val="1"/>
      <w:numFmt w:val="bullet"/>
      <w:lvlText w:val="o"/>
      <w:lvlJc w:val="left"/>
      <w:pPr>
        <w:ind w:left="1440" w:hanging="360"/>
      </w:pPr>
      <w:rPr>
        <w:rFonts w:ascii="Courier New" w:hAnsi="Courier New" w:cs="Courier New" w:hint="default"/>
      </w:rPr>
    </w:lvl>
    <w:lvl w:ilvl="2" w:tplc="73D40A7A" w:tentative="1">
      <w:start w:val="1"/>
      <w:numFmt w:val="bullet"/>
      <w:lvlText w:val=""/>
      <w:lvlJc w:val="left"/>
      <w:pPr>
        <w:ind w:left="2160" w:hanging="360"/>
      </w:pPr>
      <w:rPr>
        <w:rFonts w:ascii="Wingdings" w:hAnsi="Wingdings" w:hint="default"/>
      </w:rPr>
    </w:lvl>
    <w:lvl w:ilvl="3" w:tplc="4C0E2B72" w:tentative="1">
      <w:start w:val="1"/>
      <w:numFmt w:val="bullet"/>
      <w:lvlText w:val=""/>
      <w:lvlJc w:val="left"/>
      <w:pPr>
        <w:ind w:left="2880" w:hanging="360"/>
      </w:pPr>
      <w:rPr>
        <w:rFonts w:ascii="Symbol" w:hAnsi="Symbol" w:hint="default"/>
      </w:rPr>
    </w:lvl>
    <w:lvl w:ilvl="4" w:tplc="35F68C68" w:tentative="1">
      <w:start w:val="1"/>
      <w:numFmt w:val="bullet"/>
      <w:lvlText w:val="o"/>
      <w:lvlJc w:val="left"/>
      <w:pPr>
        <w:ind w:left="3600" w:hanging="360"/>
      </w:pPr>
      <w:rPr>
        <w:rFonts w:ascii="Courier New" w:hAnsi="Courier New" w:cs="Courier New" w:hint="default"/>
      </w:rPr>
    </w:lvl>
    <w:lvl w:ilvl="5" w:tplc="DB1A074E" w:tentative="1">
      <w:start w:val="1"/>
      <w:numFmt w:val="bullet"/>
      <w:lvlText w:val=""/>
      <w:lvlJc w:val="left"/>
      <w:pPr>
        <w:ind w:left="4320" w:hanging="360"/>
      </w:pPr>
      <w:rPr>
        <w:rFonts w:ascii="Wingdings" w:hAnsi="Wingdings" w:hint="default"/>
      </w:rPr>
    </w:lvl>
    <w:lvl w:ilvl="6" w:tplc="B68C9720" w:tentative="1">
      <w:start w:val="1"/>
      <w:numFmt w:val="bullet"/>
      <w:lvlText w:val=""/>
      <w:lvlJc w:val="left"/>
      <w:pPr>
        <w:ind w:left="5040" w:hanging="360"/>
      </w:pPr>
      <w:rPr>
        <w:rFonts w:ascii="Symbol" w:hAnsi="Symbol" w:hint="default"/>
      </w:rPr>
    </w:lvl>
    <w:lvl w:ilvl="7" w:tplc="564E831C" w:tentative="1">
      <w:start w:val="1"/>
      <w:numFmt w:val="bullet"/>
      <w:lvlText w:val="o"/>
      <w:lvlJc w:val="left"/>
      <w:pPr>
        <w:ind w:left="5760" w:hanging="360"/>
      </w:pPr>
      <w:rPr>
        <w:rFonts w:ascii="Courier New" w:hAnsi="Courier New" w:cs="Courier New" w:hint="default"/>
      </w:rPr>
    </w:lvl>
    <w:lvl w:ilvl="8" w:tplc="4F5E182C" w:tentative="1">
      <w:start w:val="1"/>
      <w:numFmt w:val="bullet"/>
      <w:lvlText w:val=""/>
      <w:lvlJc w:val="left"/>
      <w:pPr>
        <w:ind w:left="6480" w:hanging="360"/>
      </w:pPr>
      <w:rPr>
        <w:rFonts w:ascii="Wingdings" w:hAnsi="Wingdings" w:hint="default"/>
      </w:rPr>
    </w:lvl>
  </w:abstractNum>
  <w:abstractNum w:abstractNumId="6" w15:restartNumberingAfterBreak="0">
    <w:nsid w:val="1B9B4073"/>
    <w:multiLevelType w:val="hybridMultilevel"/>
    <w:tmpl w:val="72C21FFA"/>
    <w:lvl w:ilvl="0" w:tplc="A9049B10">
      <w:start w:val="1"/>
      <w:numFmt w:val="bullet"/>
      <w:lvlText w:val=""/>
      <w:lvlJc w:val="left"/>
      <w:pPr>
        <w:ind w:left="360" w:hanging="360"/>
      </w:pPr>
      <w:rPr>
        <w:rFonts w:ascii="Symbol" w:hAnsi="Symbol" w:hint="default"/>
      </w:rPr>
    </w:lvl>
    <w:lvl w:ilvl="1" w:tplc="23609790" w:tentative="1">
      <w:start w:val="1"/>
      <w:numFmt w:val="bullet"/>
      <w:lvlText w:val="o"/>
      <w:lvlJc w:val="left"/>
      <w:pPr>
        <w:ind w:left="1080" w:hanging="360"/>
      </w:pPr>
      <w:rPr>
        <w:rFonts w:ascii="Courier New" w:hAnsi="Courier New" w:cs="Courier New" w:hint="default"/>
      </w:rPr>
    </w:lvl>
    <w:lvl w:ilvl="2" w:tplc="DDBE5250" w:tentative="1">
      <w:start w:val="1"/>
      <w:numFmt w:val="bullet"/>
      <w:lvlText w:val=""/>
      <w:lvlJc w:val="left"/>
      <w:pPr>
        <w:ind w:left="1800" w:hanging="360"/>
      </w:pPr>
      <w:rPr>
        <w:rFonts w:ascii="Wingdings" w:hAnsi="Wingdings" w:hint="default"/>
      </w:rPr>
    </w:lvl>
    <w:lvl w:ilvl="3" w:tplc="1C72BC1C" w:tentative="1">
      <w:start w:val="1"/>
      <w:numFmt w:val="bullet"/>
      <w:lvlText w:val=""/>
      <w:lvlJc w:val="left"/>
      <w:pPr>
        <w:ind w:left="2520" w:hanging="360"/>
      </w:pPr>
      <w:rPr>
        <w:rFonts w:ascii="Symbol" w:hAnsi="Symbol" w:hint="default"/>
      </w:rPr>
    </w:lvl>
    <w:lvl w:ilvl="4" w:tplc="0F24576E" w:tentative="1">
      <w:start w:val="1"/>
      <w:numFmt w:val="bullet"/>
      <w:lvlText w:val="o"/>
      <w:lvlJc w:val="left"/>
      <w:pPr>
        <w:ind w:left="3240" w:hanging="360"/>
      </w:pPr>
      <w:rPr>
        <w:rFonts w:ascii="Courier New" w:hAnsi="Courier New" w:cs="Courier New" w:hint="default"/>
      </w:rPr>
    </w:lvl>
    <w:lvl w:ilvl="5" w:tplc="7FF67C56" w:tentative="1">
      <w:start w:val="1"/>
      <w:numFmt w:val="bullet"/>
      <w:lvlText w:val=""/>
      <w:lvlJc w:val="left"/>
      <w:pPr>
        <w:ind w:left="3960" w:hanging="360"/>
      </w:pPr>
      <w:rPr>
        <w:rFonts w:ascii="Wingdings" w:hAnsi="Wingdings" w:hint="default"/>
      </w:rPr>
    </w:lvl>
    <w:lvl w:ilvl="6" w:tplc="59A21D8C" w:tentative="1">
      <w:start w:val="1"/>
      <w:numFmt w:val="bullet"/>
      <w:lvlText w:val=""/>
      <w:lvlJc w:val="left"/>
      <w:pPr>
        <w:ind w:left="4680" w:hanging="360"/>
      </w:pPr>
      <w:rPr>
        <w:rFonts w:ascii="Symbol" w:hAnsi="Symbol" w:hint="default"/>
      </w:rPr>
    </w:lvl>
    <w:lvl w:ilvl="7" w:tplc="0C7A1F88" w:tentative="1">
      <w:start w:val="1"/>
      <w:numFmt w:val="bullet"/>
      <w:lvlText w:val="o"/>
      <w:lvlJc w:val="left"/>
      <w:pPr>
        <w:ind w:left="5400" w:hanging="360"/>
      </w:pPr>
      <w:rPr>
        <w:rFonts w:ascii="Courier New" w:hAnsi="Courier New" w:cs="Courier New" w:hint="default"/>
      </w:rPr>
    </w:lvl>
    <w:lvl w:ilvl="8" w:tplc="2E908F2C" w:tentative="1">
      <w:start w:val="1"/>
      <w:numFmt w:val="bullet"/>
      <w:lvlText w:val=""/>
      <w:lvlJc w:val="left"/>
      <w:pPr>
        <w:ind w:left="6120" w:hanging="360"/>
      </w:pPr>
      <w:rPr>
        <w:rFonts w:ascii="Wingdings" w:hAnsi="Wingdings" w:hint="default"/>
      </w:rPr>
    </w:lvl>
  </w:abstractNum>
  <w:abstractNum w:abstractNumId="7"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8" w15:restartNumberingAfterBreak="0">
    <w:nsid w:val="1F9669B0"/>
    <w:multiLevelType w:val="hybridMultilevel"/>
    <w:tmpl w:val="A8D0C87C"/>
    <w:lvl w:ilvl="0" w:tplc="EB92FF6E">
      <w:start w:val="1"/>
      <w:numFmt w:val="bullet"/>
      <w:lvlText w:val=""/>
      <w:lvlJc w:val="left"/>
      <w:pPr>
        <w:ind w:left="720" w:hanging="360"/>
      </w:pPr>
      <w:rPr>
        <w:rFonts w:ascii="Symbol" w:hAnsi="Symbol" w:hint="default"/>
      </w:rPr>
    </w:lvl>
    <w:lvl w:ilvl="1" w:tplc="B07E68F2" w:tentative="1">
      <w:start w:val="1"/>
      <w:numFmt w:val="bullet"/>
      <w:lvlText w:val="o"/>
      <w:lvlJc w:val="left"/>
      <w:pPr>
        <w:ind w:left="1440" w:hanging="360"/>
      </w:pPr>
      <w:rPr>
        <w:rFonts w:ascii="Courier New" w:hAnsi="Courier New" w:cs="Courier New" w:hint="default"/>
      </w:rPr>
    </w:lvl>
    <w:lvl w:ilvl="2" w:tplc="83B40B06" w:tentative="1">
      <w:start w:val="1"/>
      <w:numFmt w:val="bullet"/>
      <w:lvlText w:val=""/>
      <w:lvlJc w:val="left"/>
      <w:pPr>
        <w:ind w:left="2160" w:hanging="360"/>
      </w:pPr>
      <w:rPr>
        <w:rFonts w:ascii="Wingdings" w:hAnsi="Wingdings" w:hint="default"/>
      </w:rPr>
    </w:lvl>
    <w:lvl w:ilvl="3" w:tplc="56EE5F02" w:tentative="1">
      <w:start w:val="1"/>
      <w:numFmt w:val="bullet"/>
      <w:lvlText w:val=""/>
      <w:lvlJc w:val="left"/>
      <w:pPr>
        <w:ind w:left="2880" w:hanging="360"/>
      </w:pPr>
      <w:rPr>
        <w:rFonts w:ascii="Symbol" w:hAnsi="Symbol" w:hint="default"/>
      </w:rPr>
    </w:lvl>
    <w:lvl w:ilvl="4" w:tplc="44422BE8" w:tentative="1">
      <w:start w:val="1"/>
      <w:numFmt w:val="bullet"/>
      <w:lvlText w:val="o"/>
      <w:lvlJc w:val="left"/>
      <w:pPr>
        <w:ind w:left="3600" w:hanging="360"/>
      </w:pPr>
      <w:rPr>
        <w:rFonts w:ascii="Courier New" w:hAnsi="Courier New" w:cs="Courier New" w:hint="default"/>
      </w:rPr>
    </w:lvl>
    <w:lvl w:ilvl="5" w:tplc="BBCAC18E" w:tentative="1">
      <w:start w:val="1"/>
      <w:numFmt w:val="bullet"/>
      <w:lvlText w:val=""/>
      <w:lvlJc w:val="left"/>
      <w:pPr>
        <w:ind w:left="4320" w:hanging="360"/>
      </w:pPr>
      <w:rPr>
        <w:rFonts w:ascii="Wingdings" w:hAnsi="Wingdings" w:hint="default"/>
      </w:rPr>
    </w:lvl>
    <w:lvl w:ilvl="6" w:tplc="0D70BCAC" w:tentative="1">
      <w:start w:val="1"/>
      <w:numFmt w:val="bullet"/>
      <w:lvlText w:val=""/>
      <w:lvlJc w:val="left"/>
      <w:pPr>
        <w:ind w:left="5040" w:hanging="360"/>
      </w:pPr>
      <w:rPr>
        <w:rFonts w:ascii="Symbol" w:hAnsi="Symbol" w:hint="default"/>
      </w:rPr>
    </w:lvl>
    <w:lvl w:ilvl="7" w:tplc="9222B55E" w:tentative="1">
      <w:start w:val="1"/>
      <w:numFmt w:val="bullet"/>
      <w:lvlText w:val="o"/>
      <w:lvlJc w:val="left"/>
      <w:pPr>
        <w:ind w:left="5760" w:hanging="360"/>
      </w:pPr>
      <w:rPr>
        <w:rFonts w:ascii="Courier New" w:hAnsi="Courier New" w:cs="Courier New" w:hint="default"/>
      </w:rPr>
    </w:lvl>
    <w:lvl w:ilvl="8" w:tplc="8A1E3A14" w:tentative="1">
      <w:start w:val="1"/>
      <w:numFmt w:val="bullet"/>
      <w:lvlText w:val=""/>
      <w:lvlJc w:val="left"/>
      <w:pPr>
        <w:ind w:left="6480" w:hanging="360"/>
      </w:pPr>
      <w:rPr>
        <w:rFonts w:ascii="Wingdings" w:hAnsi="Wingdings" w:hint="default"/>
      </w:rPr>
    </w:lvl>
  </w:abstractNum>
  <w:abstractNum w:abstractNumId="9" w15:restartNumberingAfterBreak="0">
    <w:nsid w:val="20964EB3"/>
    <w:multiLevelType w:val="multilevel"/>
    <w:tmpl w:val="BE46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F5A17"/>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26CB610F"/>
    <w:multiLevelType w:val="hybridMultilevel"/>
    <w:tmpl w:val="72F46548"/>
    <w:lvl w:ilvl="0" w:tplc="CF3A90EC">
      <w:start w:val="1"/>
      <w:numFmt w:val="bullet"/>
      <w:lvlText w:val=""/>
      <w:lvlJc w:val="left"/>
      <w:pPr>
        <w:ind w:left="720" w:hanging="360"/>
      </w:pPr>
      <w:rPr>
        <w:rFonts w:ascii="Symbol" w:hAnsi="Symbol" w:hint="default"/>
      </w:rPr>
    </w:lvl>
    <w:lvl w:ilvl="1" w:tplc="1A7A313A" w:tentative="1">
      <w:start w:val="1"/>
      <w:numFmt w:val="bullet"/>
      <w:lvlText w:val="o"/>
      <w:lvlJc w:val="left"/>
      <w:pPr>
        <w:ind w:left="1440" w:hanging="360"/>
      </w:pPr>
      <w:rPr>
        <w:rFonts w:ascii="Courier New" w:hAnsi="Courier New" w:cs="Courier New" w:hint="default"/>
      </w:rPr>
    </w:lvl>
    <w:lvl w:ilvl="2" w:tplc="CAB4F90A" w:tentative="1">
      <w:start w:val="1"/>
      <w:numFmt w:val="bullet"/>
      <w:lvlText w:val=""/>
      <w:lvlJc w:val="left"/>
      <w:pPr>
        <w:ind w:left="2160" w:hanging="360"/>
      </w:pPr>
      <w:rPr>
        <w:rFonts w:ascii="Wingdings" w:hAnsi="Wingdings" w:hint="default"/>
      </w:rPr>
    </w:lvl>
    <w:lvl w:ilvl="3" w:tplc="78721536" w:tentative="1">
      <w:start w:val="1"/>
      <w:numFmt w:val="bullet"/>
      <w:lvlText w:val=""/>
      <w:lvlJc w:val="left"/>
      <w:pPr>
        <w:ind w:left="2880" w:hanging="360"/>
      </w:pPr>
      <w:rPr>
        <w:rFonts w:ascii="Symbol" w:hAnsi="Symbol" w:hint="default"/>
      </w:rPr>
    </w:lvl>
    <w:lvl w:ilvl="4" w:tplc="036A7020" w:tentative="1">
      <w:start w:val="1"/>
      <w:numFmt w:val="bullet"/>
      <w:lvlText w:val="o"/>
      <w:lvlJc w:val="left"/>
      <w:pPr>
        <w:ind w:left="3600" w:hanging="360"/>
      </w:pPr>
      <w:rPr>
        <w:rFonts w:ascii="Courier New" w:hAnsi="Courier New" w:cs="Courier New" w:hint="default"/>
      </w:rPr>
    </w:lvl>
    <w:lvl w:ilvl="5" w:tplc="1B34F41A" w:tentative="1">
      <w:start w:val="1"/>
      <w:numFmt w:val="bullet"/>
      <w:lvlText w:val=""/>
      <w:lvlJc w:val="left"/>
      <w:pPr>
        <w:ind w:left="4320" w:hanging="360"/>
      </w:pPr>
      <w:rPr>
        <w:rFonts w:ascii="Wingdings" w:hAnsi="Wingdings" w:hint="default"/>
      </w:rPr>
    </w:lvl>
    <w:lvl w:ilvl="6" w:tplc="27508C70" w:tentative="1">
      <w:start w:val="1"/>
      <w:numFmt w:val="bullet"/>
      <w:lvlText w:val=""/>
      <w:lvlJc w:val="left"/>
      <w:pPr>
        <w:ind w:left="5040" w:hanging="360"/>
      </w:pPr>
      <w:rPr>
        <w:rFonts w:ascii="Symbol" w:hAnsi="Symbol" w:hint="default"/>
      </w:rPr>
    </w:lvl>
    <w:lvl w:ilvl="7" w:tplc="200494C8" w:tentative="1">
      <w:start w:val="1"/>
      <w:numFmt w:val="bullet"/>
      <w:lvlText w:val="o"/>
      <w:lvlJc w:val="left"/>
      <w:pPr>
        <w:ind w:left="5760" w:hanging="360"/>
      </w:pPr>
      <w:rPr>
        <w:rFonts w:ascii="Courier New" w:hAnsi="Courier New" w:cs="Courier New" w:hint="default"/>
      </w:rPr>
    </w:lvl>
    <w:lvl w:ilvl="8" w:tplc="346A4AB8" w:tentative="1">
      <w:start w:val="1"/>
      <w:numFmt w:val="bullet"/>
      <w:lvlText w:val=""/>
      <w:lvlJc w:val="left"/>
      <w:pPr>
        <w:ind w:left="6480" w:hanging="360"/>
      </w:pPr>
      <w:rPr>
        <w:rFonts w:ascii="Wingdings" w:hAnsi="Wingdings" w:hint="default"/>
      </w:rPr>
    </w:lvl>
  </w:abstractNum>
  <w:abstractNum w:abstractNumId="12" w15:restartNumberingAfterBreak="0">
    <w:nsid w:val="2A941D18"/>
    <w:multiLevelType w:val="hybridMultilevel"/>
    <w:tmpl w:val="AB32380C"/>
    <w:lvl w:ilvl="0" w:tplc="645C8224">
      <w:start w:val="1"/>
      <w:numFmt w:val="bullet"/>
      <w:lvlText w:val=""/>
      <w:lvlJc w:val="left"/>
      <w:pPr>
        <w:ind w:left="720" w:hanging="360"/>
      </w:pPr>
      <w:rPr>
        <w:rFonts w:ascii="Symbol" w:hAnsi="Symbol" w:hint="default"/>
      </w:rPr>
    </w:lvl>
    <w:lvl w:ilvl="1" w:tplc="2BF4BDB6" w:tentative="1">
      <w:start w:val="1"/>
      <w:numFmt w:val="bullet"/>
      <w:lvlText w:val="o"/>
      <w:lvlJc w:val="left"/>
      <w:pPr>
        <w:ind w:left="1440" w:hanging="360"/>
      </w:pPr>
      <w:rPr>
        <w:rFonts w:ascii="Courier New" w:hAnsi="Courier New" w:cs="Courier New" w:hint="default"/>
      </w:rPr>
    </w:lvl>
    <w:lvl w:ilvl="2" w:tplc="7BD2BA04" w:tentative="1">
      <w:start w:val="1"/>
      <w:numFmt w:val="bullet"/>
      <w:lvlText w:val=""/>
      <w:lvlJc w:val="left"/>
      <w:pPr>
        <w:ind w:left="2160" w:hanging="360"/>
      </w:pPr>
      <w:rPr>
        <w:rFonts w:ascii="Wingdings" w:hAnsi="Wingdings" w:hint="default"/>
      </w:rPr>
    </w:lvl>
    <w:lvl w:ilvl="3" w:tplc="9ACAB46E" w:tentative="1">
      <w:start w:val="1"/>
      <w:numFmt w:val="bullet"/>
      <w:lvlText w:val=""/>
      <w:lvlJc w:val="left"/>
      <w:pPr>
        <w:ind w:left="2880" w:hanging="360"/>
      </w:pPr>
      <w:rPr>
        <w:rFonts w:ascii="Symbol" w:hAnsi="Symbol" w:hint="default"/>
      </w:rPr>
    </w:lvl>
    <w:lvl w:ilvl="4" w:tplc="62CA587C" w:tentative="1">
      <w:start w:val="1"/>
      <w:numFmt w:val="bullet"/>
      <w:lvlText w:val="o"/>
      <w:lvlJc w:val="left"/>
      <w:pPr>
        <w:ind w:left="3600" w:hanging="360"/>
      </w:pPr>
      <w:rPr>
        <w:rFonts w:ascii="Courier New" w:hAnsi="Courier New" w:cs="Courier New" w:hint="default"/>
      </w:rPr>
    </w:lvl>
    <w:lvl w:ilvl="5" w:tplc="E8046F98" w:tentative="1">
      <w:start w:val="1"/>
      <w:numFmt w:val="bullet"/>
      <w:lvlText w:val=""/>
      <w:lvlJc w:val="left"/>
      <w:pPr>
        <w:ind w:left="4320" w:hanging="360"/>
      </w:pPr>
      <w:rPr>
        <w:rFonts w:ascii="Wingdings" w:hAnsi="Wingdings" w:hint="default"/>
      </w:rPr>
    </w:lvl>
    <w:lvl w:ilvl="6" w:tplc="8C92544C" w:tentative="1">
      <w:start w:val="1"/>
      <w:numFmt w:val="bullet"/>
      <w:lvlText w:val=""/>
      <w:lvlJc w:val="left"/>
      <w:pPr>
        <w:ind w:left="5040" w:hanging="360"/>
      </w:pPr>
      <w:rPr>
        <w:rFonts w:ascii="Symbol" w:hAnsi="Symbol" w:hint="default"/>
      </w:rPr>
    </w:lvl>
    <w:lvl w:ilvl="7" w:tplc="818A223C" w:tentative="1">
      <w:start w:val="1"/>
      <w:numFmt w:val="bullet"/>
      <w:lvlText w:val="o"/>
      <w:lvlJc w:val="left"/>
      <w:pPr>
        <w:ind w:left="5760" w:hanging="360"/>
      </w:pPr>
      <w:rPr>
        <w:rFonts w:ascii="Courier New" w:hAnsi="Courier New" w:cs="Courier New" w:hint="default"/>
      </w:rPr>
    </w:lvl>
    <w:lvl w:ilvl="8" w:tplc="9A5EB146" w:tentative="1">
      <w:start w:val="1"/>
      <w:numFmt w:val="bullet"/>
      <w:lvlText w:val=""/>
      <w:lvlJc w:val="left"/>
      <w:pPr>
        <w:ind w:left="6480" w:hanging="360"/>
      </w:pPr>
      <w:rPr>
        <w:rFonts w:ascii="Wingdings" w:hAnsi="Wingdings" w:hint="default"/>
      </w:rPr>
    </w:lvl>
  </w:abstractNum>
  <w:abstractNum w:abstractNumId="13" w15:restartNumberingAfterBreak="0">
    <w:nsid w:val="2B994DE4"/>
    <w:multiLevelType w:val="hybridMultilevel"/>
    <w:tmpl w:val="DDE89DA8"/>
    <w:lvl w:ilvl="0" w:tplc="A31AC2D4">
      <w:start w:val="1"/>
      <w:numFmt w:val="bullet"/>
      <w:lvlText w:val=""/>
      <w:lvlJc w:val="left"/>
      <w:pPr>
        <w:ind w:left="360" w:hanging="360"/>
      </w:pPr>
      <w:rPr>
        <w:rFonts w:ascii="Symbol" w:hAnsi="Symbol" w:hint="default"/>
      </w:rPr>
    </w:lvl>
    <w:lvl w:ilvl="1" w:tplc="D26E3FE2" w:tentative="1">
      <w:start w:val="1"/>
      <w:numFmt w:val="bullet"/>
      <w:lvlText w:val="o"/>
      <w:lvlJc w:val="left"/>
      <w:pPr>
        <w:ind w:left="1080" w:hanging="360"/>
      </w:pPr>
      <w:rPr>
        <w:rFonts w:ascii="Courier New" w:hAnsi="Courier New" w:cs="Courier New" w:hint="default"/>
      </w:rPr>
    </w:lvl>
    <w:lvl w:ilvl="2" w:tplc="0E263F98" w:tentative="1">
      <w:start w:val="1"/>
      <w:numFmt w:val="bullet"/>
      <w:lvlText w:val=""/>
      <w:lvlJc w:val="left"/>
      <w:pPr>
        <w:ind w:left="1800" w:hanging="360"/>
      </w:pPr>
      <w:rPr>
        <w:rFonts w:ascii="Wingdings" w:hAnsi="Wingdings" w:hint="default"/>
      </w:rPr>
    </w:lvl>
    <w:lvl w:ilvl="3" w:tplc="378AFAA2" w:tentative="1">
      <w:start w:val="1"/>
      <w:numFmt w:val="bullet"/>
      <w:lvlText w:val=""/>
      <w:lvlJc w:val="left"/>
      <w:pPr>
        <w:ind w:left="2520" w:hanging="360"/>
      </w:pPr>
      <w:rPr>
        <w:rFonts w:ascii="Symbol" w:hAnsi="Symbol" w:hint="default"/>
      </w:rPr>
    </w:lvl>
    <w:lvl w:ilvl="4" w:tplc="9A7E7ADE" w:tentative="1">
      <w:start w:val="1"/>
      <w:numFmt w:val="bullet"/>
      <w:lvlText w:val="o"/>
      <w:lvlJc w:val="left"/>
      <w:pPr>
        <w:ind w:left="3240" w:hanging="360"/>
      </w:pPr>
      <w:rPr>
        <w:rFonts w:ascii="Courier New" w:hAnsi="Courier New" w:cs="Courier New" w:hint="default"/>
      </w:rPr>
    </w:lvl>
    <w:lvl w:ilvl="5" w:tplc="26B4387C" w:tentative="1">
      <w:start w:val="1"/>
      <w:numFmt w:val="bullet"/>
      <w:lvlText w:val=""/>
      <w:lvlJc w:val="left"/>
      <w:pPr>
        <w:ind w:left="3960" w:hanging="360"/>
      </w:pPr>
      <w:rPr>
        <w:rFonts w:ascii="Wingdings" w:hAnsi="Wingdings" w:hint="default"/>
      </w:rPr>
    </w:lvl>
    <w:lvl w:ilvl="6" w:tplc="73C000EA" w:tentative="1">
      <w:start w:val="1"/>
      <w:numFmt w:val="bullet"/>
      <w:lvlText w:val=""/>
      <w:lvlJc w:val="left"/>
      <w:pPr>
        <w:ind w:left="4680" w:hanging="360"/>
      </w:pPr>
      <w:rPr>
        <w:rFonts w:ascii="Symbol" w:hAnsi="Symbol" w:hint="default"/>
      </w:rPr>
    </w:lvl>
    <w:lvl w:ilvl="7" w:tplc="807ED292" w:tentative="1">
      <w:start w:val="1"/>
      <w:numFmt w:val="bullet"/>
      <w:lvlText w:val="o"/>
      <w:lvlJc w:val="left"/>
      <w:pPr>
        <w:ind w:left="5400" w:hanging="360"/>
      </w:pPr>
      <w:rPr>
        <w:rFonts w:ascii="Courier New" w:hAnsi="Courier New" w:cs="Courier New" w:hint="default"/>
      </w:rPr>
    </w:lvl>
    <w:lvl w:ilvl="8" w:tplc="BFA25CEE" w:tentative="1">
      <w:start w:val="1"/>
      <w:numFmt w:val="bullet"/>
      <w:lvlText w:val=""/>
      <w:lvlJc w:val="left"/>
      <w:pPr>
        <w:ind w:left="6120" w:hanging="360"/>
      </w:pPr>
      <w:rPr>
        <w:rFonts w:ascii="Wingdings" w:hAnsi="Wingdings" w:hint="default"/>
      </w:rPr>
    </w:lvl>
  </w:abstractNum>
  <w:abstractNum w:abstractNumId="14" w15:restartNumberingAfterBreak="0">
    <w:nsid w:val="335E6C3A"/>
    <w:multiLevelType w:val="hybridMultilevel"/>
    <w:tmpl w:val="92461638"/>
    <w:lvl w:ilvl="0" w:tplc="92FA1C38">
      <w:start w:val="1"/>
      <w:numFmt w:val="bullet"/>
      <w:lvlText w:val=""/>
      <w:lvlJc w:val="left"/>
      <w:pPr>
        <w:ind w:left="720" w:hanging="360"/>
      </w:pPr>
      <w:rPr>
        <w:rFonts w:ascii="Symbol" w:hAnsi="Symbol" w:hint="default"/>
      </w:rPr>
    </w:lvl>
    <w:lvl w:ilvl="1" w:tplc="CF742D6E" w:tentative="1">
      <w:start w:val="1"/>
      <w:numFmt w:val="bullet"/>
      <w:lvlText w:val="o"/>
      <w:lvlJc w:val="left"/>
      <w:pPr>
        <w:ind w:left="1440" w:hanging="360"/>
      </w:pPr>
      <w:rPr>
        <w:rFonts w:ascii="Courier New" w:hAnsi="Courier New" w:cs="Courier New" w:hint="default"/>
      </w:rPr>
    </w:lvl>
    <w:lvl w:ilvl="2" w:tplc="37AA0506" w:tentative="1">
      <w:start w:val="1"/>
      <w:numFmt w:val="bullet"/>
      <w:lvlText w:val=""/>
      <w:lvlJc w:val="left"/>
      <w:pPr>
        <w:ind w:left="2160" w:hanging="360"/>
      </w:pPr>
      <w:rPr>
        <w:rFonts w:ascii="Wingdings" w:hAnsi="Wingdings" w:hint="default"/>
      </w:rPr>
    </w:lvl>
    <w:lvl w:ilvl="3" w:tplc="30942180" w:tentative="1">
      <w:start w:val="1"/>
      <w:numFmt w:val="bullet"/>
      <w:lvlText w:val=""/>
      <w:lvlJc w:val="left"/>
      <w:pPr>
        <w:ind w:left="2880" w:hanging="360"/>
      </w:pPr>
      <w:rPr>
        <w:rFonts w:ascii="Symbol" w:hAnsi="Symbol" w:hint="default"/>
      </w:rPr>
    </w:lvl>
    <w:lvl w:ilvl="4" w:tplc="A616357C" w:tentative="1">
      <w:start w:val="1"/>
      <w:numFmt w:val="bullet"/>
      <w:lvlText w:val="o"/>
      <w:lvlJc w:val="left"/>
      <w:pPr>
        <w:ind w:left="3600" w:hanging="360"/>
      </w:pPr>
      <w:rPr>
        <w:rFonts w:ascii="Courier New" w:hAnsi="Courier New" w:cs="Courier New" w:hint="default"/>
      </w:rPr>
    </w:lvl>
    <w:lvl w:ilvl="5" w:tplc="2976DC16" w:tentative="1">
      <w:start w:val="1"/>
      <w:numFmt w:val="bullet"/>
      <w:lvlText w:val=""/>
      <w:lvlJc w:val="left"/>
      <w:pPr>
        <w:ind w:left="4320" w:hanging="360"/>
      </w:pPr>
      <w:rPr>
        <w:rFonts w:ascii="Wingdings" w:hAnsi="Wingdings" w:hint="default"/>
      </w:rPr>
    </w:lvl>
    <w:lvl w:ilvl="6" w:tplc="C5FE281C" w:tentative="1">
      <w:start w:val="1"/>
      <w:numFmt w:val="bullet"/>
      <w:lvlText w:val=""/>
      <w:lvlJc w:val="left"/>
      <w:pPr>
        <w:ind w:left="5040" w:hanging="360"/>
      </w:pPr>
      <w:rPr>
        <w:rFonts w:ascii="Symbol" w:hAnsi="Symbol" w:hint="default"/>
      </w:rPr>
    </w:lvl>
    <w:lvl w:ilvl="7" w:tplc="035409DE" w:tentative="1">
      <w:start w:val="1"/>
      <w:numFmt w:val="bullet"/>
      <w:lvlText w:val="o"/>
      <w:lvlJc w:val="left"/>
      <w:pPr>
        <w:ind w:left="5760" w:hanging="360"/>
      </w:pPr>
      <w:rPr>
        <w:rFonts w:ascii="Courier New" w:hAnsi="Courier New" w:cs="Courier New" w:hint="default"/>
      </w:rPr>
    </w:lvl>
    <w:lvl w:ilvl="8" w:tplc="E056BEE6" w:tentative="1">
      <w:start w:val="1"/>
      <w:numFmt w:val="bullet"/>
      <w:lvlText w:val=""/>
      <w:lvlJc w:val="left"/>
      <w:pPr>
        <w:ind w:left="6480" w:hanging="360"/>
      </w:pPr>
      <w:rPr>
        <w:rFonts w:ascii="Wingdings" w:hAnsi="Wingdings" w:hint="default"/>
      </w:rPr>
    </w:lvl>
  </w:abstractNum>
  <w:abstractNum w:abstractNumId="15" w15:restartNumberingAfterBreak="0">
    <w:nsid w:val="33DC2D07"/>
    <w:multiLevelType w:val="multilevel"/>
    <w:tmpl w:val="479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212C7"/>
    <w:multiLevelType w:val="hybridMultilevel"/>
    <w:tmpl w:val="18AE4662"/>
    <w:lvl w:ilvl="0" w:tplc="C6BEF946">
      <w:start w:val="1"/>
      <w:numFmt w:val="bullet"/>
      <w:lvlText w:val=""/>
      <w:lvlJc w:val="left"/>
      <w:pPr>
        <w:ind w:left="720" w:hanging="360"/>
      </w:pPr>
      <w:rPr>
        <w:rFonts w:ascii="Symbol" w:hAnsi="Symbol" w:hint="default"/>
      </w:rPr>
    </w:lvl>
    <w:lvl w:ilvl="1" w:tplc="A00EA3AE" w:tentative="1">
      <w:start w:val="1"/>
      <w:numFmt w:val="bullet"/>
      <w:lvlText w:val="o"/>
      <w:lvlJc w:val="left"/>
      <w:pPr>
        <w:ind w:left="1440" w:hanging="360"/>
      </w:pPr>
      <w:rPr>
        <w:rFonts w:ascii="Courier New" w:hAnsi="Courier New" w:cs="Courier New" w:hint="default"/>
      </w:rPr>
    </w:lvl>
    <w:lvl w:ilvl="2" w:tplc="EE002D32" w:tentative="1">
      <w:start w:val="1"/>
      <w:numFmt w:val="bullet"/>
      <w:lvlText w:val=""/>
      <w:lvlJc w:val="left"/>
      <w:pPr>
        <w:ind w:left="2160" w:hanging="360"/>
      </w:pPr>
      <w:rPr>
        <w:rFonts w:ascii="Wingdings" w:hAnsi="Wingdings" w:hint="default"/>
      </w:rPr>
    </w:lvl>
    <w:lvl w:ilvl="3" w:tplc="4F340342" w:tentative="1">
      <w:start w:val="1"/>
      <w:numFmt w:val="bullet"/>
      <w:lvlText w:val=""/>
      <w:lvlJc w:val="left"/>
      <w:pPr>
        <w:ind w:left="2880" w:hanging="360"/>
      </w:pPr>
      <w:rPr>
        <w:rFonts w:ascii="Symbol" w:hAnsi="Symbol" w:hint="default"/>
      </w:rPr>
    </w:lvl>
    <w:lvl w:ilvl="4" w:tplc="3ED4B91E" w:tentative="1">
      <w:start w:val="1"/>
      <w:numFmt w:val="bullet"/>
      <w:lvlText w:val="o"/>
      <w:lvlJc w:val="left"/>
      <w:pPr>
        <w:ind w:left="3600" w:hanging="360"/>
      </w:pPr>
      <w:rPr>
        <w:rFonts w:ascii="Courier New" w:hAnsi="Courier New" w:cs="Courier New" w:hint="default"/>
      </w:rPr>
    </w:lvl>
    <w:lvl w:ilvl="5" w:tplc="3E7C99DC" w:tentative="1">
      <w:start w:val="1"/>
      <w:numFmt w:val="bullet"/>
      <w:lvlText w:val=""/>
      <w:lvlJc w:val="left"/>
      <w:pPr>
        <w:ind w:left="4320" w:hanging="360"/>
      </w:pPr>
      <w:rPr>
        <w:rFonts w:ascii="Wingdings" w:hAnsi="Wingdings" w:hint="default"/>
      </w:rPr>
    </w:lvl>
    <w:lvl w:ilvl="6" w:tplc="F314CE52" w:tentative="1">
      <w:start w:val="1"/>
      <w:numFmt w:val="bullet"/>
      <w:lvlText w:val=""/>
      <w:lvlJc w:val="left"/>
      <w:pPr>
        <w:ind w:left="5040" w:hanging="360"/>
      </w:pPr>
      <w:rPr>
        <w:rFonts w:ascii="Symbol" w:hAnsi="Symbol" w:hint="default"/>
      </w:rPr>
    </w:lvl>
    <w:lvl w:ilvl="7" w:tplc="D6284BBE" w:tentative="1">
      <w:start w:val="1"/>
      <w:numFmt w:val="bullet"/>
      <w:lvlText w:val="o"/>
      <w:lvlJc w:val="left"/>
      <w:pPr>
        <w:ind w:left="5760" w:hanging="360"/>
      </w:pPr>
      <w:rPr>
        <w:rFonts w:ascii="Courier New" w:hAnsi="Courier New" w:cs="Courier New" w:hint="default"/>
      </w:rPr>
    </w:lvl>
    <w:lvl w:ilvl="8" w:tplc="11F68B94" w:tentative="1">
      <w:start w:val="1"/>
      <w:numFmt w:val="bullet"/>
      <w:lvlText w:val=""/>
      <w:lvlJc w:val="left"/>
      <w:pPr>
        <w:ind w:left="6480" w:hanging="360"/>
      </w:pPr>
      <w:rPr>
        <w:rFonts w:ascii="Wingdings" w:hAnsi="Wingdings" w:hint="default"/>
      </w:rPr>
    </w:lvl>
  </w:abstractNum>
  <w:abstractNum w:abstractNumId="17" w15:restartNumberingAfterBreak="0">
    <w:nsid w:val="4563370B"/>
    <w:multiLevelType w:val="hybridMultilevel"/>
    <w:tmpl w:val="946ECCE4"/>
    <w:lvl w:ilvl="0" w:tplc="9A66D09A">
      <w:start w:val="1"/>
      <w:numFmt w:val="decimal"/>
      <w:lvlText w:val="%1."/>
      <w:lvlJc w:val="left"/>
      <w:pPr>
        <w:ind w:left="360" w:hanging="360"/>
      </w:pPr>
    </w:lvl>
    <w:lvl w:ilvl="1" w:tplc="4028BDF8" w:tentative="1">
      <w:start w:val="1"/>
      <w:numFmt w:val="lowerLetter"/>
      <w:lvlText w:val="%2."/>
      <w:lvlJc w:val="left"/>
      <w:pPr>
        <w:ind w:left="1080" w:hanging="360"/>
      </w:pPr>
    </w:lvl>
    <w:lvl w:ilvl="2" w:tplc="78C231E8" w:tentative="1">
      <w:start w:val="1"/>
      <w:numFmt w:val="lowerRoman"/>
      <w:lvlText w:val="%3."/>
      <w:lvlJc w:val="right"/>
      <w:pPr>
        <w:ind w:left="1800" w:hanging="180"/>
      </w:pPr>
    </w:lvl>
    <w:lvl w:ilvl="3" w:tplc="F31E7A04" w:tentative="1">
      <w:start w:val="1"/>
      <w:numFmt w:val="decimal"/>
      <w:lvlText w:val="%4."/>
      <w:lvlJc w:val="left"/>
      <w:pPr>
        <w:ind w:left="2520" w:hanging="360"/>
      </w:pPr>
    </w:lvl>
    <w:lvl w:ilvl="4" w:tplc="8D6E4B78" w:tentative="1">
      <w:start w:val="1"/>
      <w:numFmt w:val="lowerLetter"/>
      <w:lvlText w:val="%5."/>
      <w:lvlJc w:val="left"/>
      <w:pPr>
        <w:ind w:left="3240" w:hanging="360"/>
      </w:pPr>
    </w:lvl>
    <w:lvl w:ilvl="5" w:tplc="8F7052C2" w:tentative="1">
      <w:start w:val="1"/>
      <w:numFmt w:val="lowerRoman"/>
      <w:lvlText w:val="%6."/>
      <w:lvlJc w:val="right"/>
      <w:pPr>
        <w:ind w:left="3960" w:hanging="180"/>
      </w:pPr>
    </w:lvl>
    <w:lvl w:ilvl="6" w:tplc="56D8177C" w:tentative="1">
      <w:start w:val="1"/>
      <w:numFmt w:val="decimal"/>
      <w:lvlText w:val="%7."/>
      <w:lvlJc w:val="left"/>
      <w:pPr>
        <w:ind w:left="4680" w:hanging="360"/>
      </w:pPr>
    </w:lvl>
    <w:lvl w:ilvl="7" w:tplc="3E5A6DA0" w:tentative="1">
      <w:start w:val="1"/>
      <w:numFmt w:val="lowerLetter"/>
      <w:lvlText w:val="%8."/>
      <w:lvlJc w:val="left"/>
      <w:pPr>
        <w:ind w:left="5400" w:hanging="360"/>
      </w:pPr>
    </w:lvl>
    <w:lvl w:ilvl="8" w:tplc="191497F0" w:tentative="1">
      <w:start w:val="1"/>
      <w:numFmt w:val="lowerRoman"/>
      <w:lvlText w:val="%9."/>
      <w:lvlJc w:val="right"/>
      <w:pPr>
        <w:ind w:left="6120" w:hanging="180"/>
      </w:pPr>
    </w:lvl>
  </w:abstractNum>
  <w:abstractNum w:abstractNumId="18" w15:restartNumberingAfterBreak="0">
    <w:nsid w:val="4A02747F"/>
    <w:multiLevelType w:val="hybridMultilevel"/>
    <w:tmpl w:val="D64CDEBC"/>
    <w:lvl w:ilvl="0" w:tplc="7E006A22">
      <w:start w:val="1"/>
      <w:numFmt w:val="bullet"/>
      <w:lvlText w:val=""/>
      <w:lvlJc w:val="left"/>
      <w:pPr>
        <w:ind w:left="360" w:hanging="360"/>
      </w:pPr>
      <w:rPr>
        <w:rFonts w:ascii="Symbol" w:hAnsi="Symbol" w:hint="default"/>
      </w:rPr>
    </w:lvl>
    <w:lvl w:ilvl="1" w:tplc="3A0C5CE8" w:tentative="1">
      <w:start w:val="1"/>
      <w:numFmt w:val="bullet"/>
      <w:lvlText w:val="o"/>
      <w:lvlJc w:val="left"/>
      <w:pPr>
        <w:ind w:left="1080" w:hanging="360"/>
      </w:pPr>
      <w:rPr>
        <w:rFonts w:ascii="Courier New" w:hAnsi="Courier New" w:cs="Courier New" w:hint="default"/>
      </w:rPr>
    </w:lvl>
    <w:lvl w:ilvl="2" w:tplc="C0F02A5E" w:tentative="1">
      <w:start w:val="1"/>
      <w:numFmt w:val="bullet"/>
      <w:lvlText w:val=""/>
      <w:lvlJc w:val="left"/>
      <w:pPr>
        <w:ind w:left="1800" w:hanging="360"/>
      </w:pPr>
      <w:rPr>
        <w:rFonts w:ascii="Wingdings" w:hAnsi="Wingdings" w:hint="default"/>
      </w:rPr>
    </w:lvl>
    <w:lvl w:ilvl="3" w:tplc="C60688FE" w:tentative="1">
      <w:start w:val="1"/>
      <w:numFmt w:val="bullet"/>
      <w:lvlText w:val=""/>
      <w:lvlJc w:val="left"/>
      <w:pPr>
        <w:ind w:left="2520" w:hanging="360"/>
      </w:pPr>
      <w:rPr>
        <w:rFonts w:ascii="Symbol" w:hAnsi="Symbol" w:hint="default"/>
      </w:rPr>
    </w:lvl>
    <w:lvl w:ilvl="4" w:tplc="0534014A" w:tentative="1">
      <w:start w:val="1"/>
      <w:numFmt w:val="bullet"/>
      <w:lvlText w:val="o"/>
      <w:lvlJc w:val="left"/>
      <w:pPr>
        <w:ind w:left="3240" w:hanging="360"/>
      </w:pPr>
      <w:rPr>
        <w:rFonts w:ascii="Courier New" w:hAnsi="Courier New" w:cs="Courier New" w:hint="default"/>
      </w:rPr>
    </w:lvl>
    <w:lvl w:ilvl="5" w:tplc="EA2E98F0" w:tentative="1">
      <w:start w:val="1"/>
      <w:numFmt w:val="bullet"/>
      <w:lvlText w:val=""/>
      <w:lvlJc w:val="left"/>
      <w:pPr>
        <w:ind w:left="3960" w:hanging="360"/>
      </w:pPr>
      <w:rPr>
        <w:rFonts w:ascii="Wingdings" w:hAnsi="Wingdings" w:hint="default"/>
      </w:rPr>
    </w:lvl>
    <w:lvl w:ilvl="6" w:tplc="BE0AF76E" w:tentative="1">
      <w:start w:val="1"/>
      <w:numFmt w:val="bullet"/>
      <w:lvlText w:val=""/>
      <w:lvlJc w:val="left"/>
      <w:pPr>
        <w:ind w:left="4680" w:hanging="360"/>
      </w:pPr>
      <w:rPr>
        <w:rFonts w:ascii="Symbol" w:hAnsi="Symbol" w:hint="default"/>
      </w:rPr>
    </w:lvl>
    <w:lvl w:ilvl="7" w:tplc="DD4E7326" w:tentative="1">
      <w:start w:val="1"/>
      <w:numFmt w:val="bullet"/>
      <w:lvlText w:val="o"/>
      <w:lvlJc w:val="left"/>
      <w:pPr>
        <w:ind w:left="5400" w:hanging="360"/>
      </w:pPr>
      <w:rPr>
        <w:rFonts w:ascii="Courier New" w:hAnsi="Courier New" w:cs="Courier New" w:hint="default"/>
      </w:rPr>
    </w:lvl>
    <w:lvl w:ilvl="8" w:tplc="F8F204CC" w:tentative="1">
      <w:start w:val="1"/>
      <w:numFmt w:val="bullet"/>
      <w:lvlText w:val=""/>
      <w:lvlJc w:val="left"/>
      <w:pPr>
        <w:ind w:left="6120" w:hanging="360"/>
      </w:pPr>
      <w:rPr>
        <w:rFonts w:ascii="Wingdings" w:hAnsi="Wingdings" w:hint="default"/>
      </w:rPr>
    </w:lvl>
  </w:abstractNum>
  <w:abstractNum w:abstractNumId="19" w15:restartNumberingAfterBreak="0">
    <w:nsid w:val="4A252131"/>
    <w:multiLevelType w:val="hybridMultilevel"/>
    <w:tmpl w:val="73F4BF44"/>
    <w:lvl w:ilvl="0" w:tplc="BB60CF80">
      <w:start w:val="1"/>
      <w:numFmt w:val="bullet"/>
      <w:lvlText w:val=""/>
      <w:lvlJc w:val="left"/>
      <w:pPr>
        <w:ind w:left="720" w:hanging="360"/>
      </w:pPr>
      <w:rPr>
        <w:rFonts w:ascii="Symbol" w:hAnsi="Symbol" w:hint="default"/>
      </w:rPr>
    </w:lvl>
    <w:lvl w:ilvl="1" w:tplc="177A12E4">
      <w:start w:val="1"/>
      <w:numFmt w:val="bullet"/>
      <w:lvlText w:val="o"/>
      <w:lvlJc w:val="left"/>
      <w:pPr>
        <w:ind w:left="1440" w:hanging="360"/>
      </w:pPr>
      <w:rPr>
        <w:rFonts w:ascii="Courier New" w:hAnsi="Courier New" w:cs="Courier New" w:hint="default"/>
      </w:rPr>
    </w:lvl>
    <w:lvl w:ilvl="2" w:tplc="061009A8">
      <w:numFmt w:val="bullet"/>
      <w:lvlText w:val="-"/>
      <w:lvlJc w:val="left"/>
      <w:pPr>
        <w:ind w:left="2160" w:hanging="360"/>
      </w:pPr>
      <w:rPr>
        <w:rFonts w:ascii="Verdana" w:eastAsia="Times New Roman" w:hAnsi="Verdana" w:cs="Times New Roman" w:hint="default"/>
      </w:rPr>
    </w:lvl>
    <w:lvl w:ilvl="3" w:tplc="DBB2C2DC" w:tentative="1">
      <w:start w:val="1"/>
      <w:numFmt w:val="bullet"/>
      <w:lvlText w:val=""/>
      <w:lvlJc w:val="left"/>
      <w:pPr>
        <w:ind w:left="2880" w:hanging="360"/>
      </w:pPr>
      <w:rPr>
        <w:rFonts w:ascii="Symbol" w:hAnsi="Symbol" w:hint="default"/>
      </w:rPr>
    </w:lvl>
    <w:lvl w:ilvl="4" w:tplc="EFB21E70" w:tentative="1">
      <w:start w:val="1"/>
      <w:numFmt w:val="bullet"/>
      <w:lvlText w:val="o"/>
      <w:lvlJc w:val="left"/>
      <w:pPr>
        <w:ind w:left="3600" w:hanging="360"/>
      </w:pPr>
      <w:rPr>
        <w:rFonts w:ascii="Courier New" w:hAnsi="Courier New" w:cs="Courier New" w:hint="default"/>
      </w:rPr>
    </w:lvl>
    <w:lvl w:ilvl="5" w:tplc="F6360898" w:tentative="1">
      <w:start w:val="1"/>
      <w:numFmt w:val="bullet"/>
      <w:lvlText w:val=""/>
      <w:lvlJc w:val="left"/>
      <w:pPr>
        <w:ind w:left="4320" w:hanging="360"/>
      </w:pPr>
      <w:rPr>
        <w:rFonts w:ascii="Wingdings" w:hAnsi="Wingdings" w:hint="default"/>
      </w:rPr>
    </w:lvl>
    <w:lvl w:ilvl="6" w:tplc="0FD25336" w:tentative="1">
      <w:start w:val="1"/>
      <w:numFmt w:val="bullet"/>
      <w:lvlText w:val=""/>
      <w:lvlJc w:val="left"/>
      <w:pPr>
        <w:ind w:left="5040" w:hanging="360"/>
      </w:pPr>
      <w:rPr>
        <w:rFonts w:ascii="Symbol" w:hAnsi="Symbol" w:hint="default"/>
      </w:rPr>
    </w:lvl>
    <w:lvl w:ilvl="7" w:tplc="B434A914" w:tentative="1">
      <w:start w:val="1"/>
      <w:numFmt w:val="bullet"/>
      <w:lvlText w:val="o"/>
      <w:lvlJc w:val="left"/>
      <w:pPr>
        <w:ind w:left="5760" w:hanging="360"/>
      </w:pPr>
      <w:rPr>
        <w:rFonts w:ascii="Courier New" w:hAnsi="Courier New" w:cs="Courier New" w:hint="default"/>
      </w:rPr>
    </w:lvl>
    <w:lvl w:ilvl="8" w:tplc="F210098C" w:tentative="1">
      <w:start w:val="1"/>
      <w:numFmt w:val="bullet"/>
      <w:lvlText w:val=""/>
      <w:lvlJc w:val="left"/>
      <w:pPr>
        <w:ind w:left="6480" w:hanging="360"/>
      </w:pPr>
      <w:rPr>
        <w:rFonts w:ascii="Wingdings" w:hAnsi="Wingdings" w:hint="default"/>
      </w:rPr>
    </w:lvl>
  </w:abstractNum>
  <w:abstractNum w:abstractNumId="20" w15:restartNumberingAfterBreak="0">
    <w:nsid w:val="503E26BF"/>
    <w:multiLevelType w:val="hybridMultilevel"/>
    <w:tmpl w:val="B0E607C6"/>
    <w:lvl w:ilvl="0" w:tplc="8C482D78">
      <w:start w:val="1"/>
      <w:numFmt w:val="bullet"/>
      <w:lvlText w:val=""/>
      <w:lvlJc w:val="left"/>
      <w:pPr>
        <w:ind w:left="360" w:hanging="360"/>
      </w:pPr>
      <w:rPr>
        <w:rFonts w:ascii="Symbol" w:hAnsi="Symbol" w:hint="default"/>
      </w:rPr>
    </w:lvl>
    <w:lvl w:ilvl="1" w:tplc="D7602A3C">
      <w:start w:val="1"/>
      <w:numFmt w:val="bullet"/>
      <w:lvlText w:val="o"/>
      <w:lvlJc w:val="left"/>
      <w:pPr>
        <w:ind w:left="1080" w:hanging="360"/>
      </w:pPr>
      <w:rPr>
        <w:rFonts w:ascii="Courier New" w:hAnsi="Courier New" w:cs="Courier New" w:hint="default"/>
      </w:rPr>
    </w:lvl>
    <w:lvl w:ilvl="2" w:tplc="B3ECE3D2">
      <w:start w:val="1"/>
      <w:numFmt w:val="bullet"/>
      <w:lvlText w:val=""/>
      <w:lvlJc w:val="left"/>
      <w:pPr>
        <w:ind w:left="1800" w:hanging="360"/>
      </w:pPr>
      <w:rPr>
        <w:rFonts w:ascii="Wingdings" w:hAnsi="Wingdings" w:hint="default"/>
      </w:rPr>
    </w:lvl>
    <w:lvl w:ilvl="3" w:tplc="9BD85C62" w:tentative="1">
      <w:start w:val="1"/>
      <w:numFmt w:val="bullet"/>
      <w:lvlText w:val=""/>
      <w:lvlJc w:val="left"/>
      <w:pPr>
        <w:ind w:left="2520" w:hanging="360"/>
      </w:pPr>
      <w:rPr>
        <w:rFonts w:ascii="Symbol" w:hAnsi="Symbol" w:hint="default"/>
      </w:rPr>
    </w:lvl>
    <w:lvl w:ilvl="4" w:tplc="B99ACA88" w:tentative="1">
      <w:start w:val="1"/>
      <w:numFmt w:val="bullet"/>
      <w:lvlText w:val="o"/>
      <w:lvlJc w:val="left"/>
      <w:pPr>
        <w:ind w:left="3240" w:hanging="360"/>
      </w:pPr>
      <w:rPr>
        <w:rFonts w:ascii="Courier New" w:hAnsi="Courier New" w:cs="Courier New" w:hint="default"/>
      </w:rPr>
    </w:lvl>
    <w:lvl w:ilvl="5" w:tplc="4860E902" w:tentative="1">
      <w:start w:val="1"/>
      <w:numFmt w:val="bullet"/>
      <w:lvlText w:val=""/>
      <w:lvlJc w:val="left"/>
      <w:pPr>
        <w:ind w:left="3960" w:hanging="360"/>
      </w:pPr>
      <w:rPr>
        <w:rFonts w:ascii="Wingdings" w:hAnsi="Wingdings" w:hint="default"/>
      </w:rPr>
    </w:lvl>
    <w:lvl w:ilvl="6" w:tplc="A7862E92" w:tentative="1">
      <w:start w:val="1"/>
      <w:numFmt w:val="bullet"/>
      <w:lvlText w:val=""/>
      <w:lvlJc w:val="left"/>
      <w:pPr>
        <w:ind w:left="4680" w:hanging="360"/>
      </w:pPr>
      <w:rPr>
        <w:rFonts w:ascii="Symbol" w:hAnsi="Symbol" w:hint="default"/>
      </w:rPr>
    </w:lvl>
    <w:lvl w:ilvl="7" w:tplc="F8A09E80" w:tentative="1">
      <w:start w:val="1"/>
      <w:numFmt w:val="bullet"/>
      <w:lvlText w:val="o"/>
      <w:lvlJc w:val="left"/>
      <w:pPr>
        <w:ind w:left="5400" w:hanging="360"/>
      </w:pPr>
      <w:rPr>
        <w:rFonts w:ascii="Courier New" w:hAnsi="Courier New" w:cs="Courier New" w:hint="default"/>
      </w:rPr>
    </w:lvl>
    <w:lvl w:ilvl="8" w:tplc="235E4C20" w:tentative="1">
      <w:start w:val="1"/>
      <w:numFmt w:val="bullet"/>
      <w:lvlText w:val=""/>
      <w:lvlJc w:val="left"/>
      <w:pPr>
        <w:ind w:left="6120" w:hanging="360"/>
      </w:pPr>
      <w:rPr>
        <w:rFonts w:ascii="Wingdings" w:hAnsi="Wingdings" w:hint="default"/>
      </w:rPr>
    </w:lvl>
  </w:abstractNum>
  <w:abstractNum w:abstractNumId="21" w15:restartNumberingAfterBreak="0">
    <w:nsid w:val="51405820"/>
    <w:multiLevelType w:val="hybridMultilevel"/>
    <w:tmpl w:val="058E8336"/>
    <w:lvl w:ilvl="0" w:tplc="1B029B3E">
      <w:start w:val="1"/>
      <w:numFmt w:val="decimal"/>
      <w:lvlText w:val="%1."/>
      <w:lvlJc w:val="left"/>
      <w:pPr>
        <w:ind w:left="360" w:hanging="360"/>
      </w:pPr>
    </w:lvl>
    <w:lvl w:ilvl="1" w:tplc="1A8A9954" w:tentative="1">
      <w:start w:val="1"/>
      <w:numFmt w:val="lowerLetter"/>
      <w:lvlText w:val="%2."/>
      <w:lvlJc w:val="left"/>
      <w:pPr>
        <w:ind w:left="1080" w:hanging="360"/>
      </w:pPr>
    </w:lvl>
    <w:lvl w:ilvl="2" w:tplc="9DCAE72A" w:tentative="1">
      <w:start w:val="1"/>
      <w:numFmt w:val="lowerRoman"/>
      <w:lvlText w:val="%3."/>
      <w:lvlJc w:val="right"/>
      <w:pPr>
        <w:ind w:left="1800" w:hanging="180"/>
      </w:pPr>
    </w:lvl>
    <w:lvl w:ilvl="3" w:tplc="F4AE4392" w:tentative="1">
      <w:start w:val="1"/>
      <w:numFmt w:val="decimal"/>
      <w:lvlText w:val="%4."/>
      <w:lvlJc w:val="left"/>
      <w:pPr>
        <w:ind w:left="2520" w:hanging="360"/>
      </w:pPr>
    </w:lvl>
    <w:lvl w:ilvl="4" w:tplc="96D4D7BE" w:tentative="1">
      <w:start w:val="1"/>
      <w:numFmt w:val="lowerLetter"/>
      <w:lvlText w:val="%5."/>
      <w:lvlJc w:val="left"/>
      <w:pPr>
        <w:ind w:left="3240" w:hanging="360"/>
      </w:pPr>
    </w:lvl>
    <w:lvl w:ilvl="5" w:tplc="2A1009FA" w:tentative="1">
      <w:start w:val="1"/>
      <w:numFmt w:val="lowerRoman"/>
      <w:lvlText w:val="%6."/>
      <w:lvlJc w:val="right"/>
      <w:pPr>
        <w:ind w:left="3960" w:hanging="180"/>
      </w:pPr>
    </w:lvl>
    <w:lvl w:ilvl="6" w:tplc="36EC5422" w:tentative="1">
      <w:start w:val="1"/>
      <w:numFmt w:val="decimal"/>
      <w:lvlText w:val="%7."/>
      <w:lvlJc w:val="left"/>
      <w:pPr>
        <w:ind w:left="4680" w:hanging="360"/>
      </w:pPr>
    </w:lvl>
    <w:lvl w:ilvl="7" w:tplc="F6F0F86C" w:tentative="1">
      <w:start w:val="1"/>
      <w:numFmt w:val="lowerLetter"/>
      <w:lvlText w:val="%8."/>
      <w:lvlJc w:val="left"/>
      <w:pPr>
        <w:ind w:left="5400" w:hanging="360"/>
      </w:pPr>
    </w:lvl>
    <w:lvl w:ilvl="8" w:tplc="D460216E" w:tentative="1">
      <w:start w:val="1"/>
      <w:numFmt w:val="lowerRoman"/>
      <w:lvlText w:val="%9."/>
      <w:lvlJc w:val="right"/>
      <w:pPr>
        <w:ind w:left="6120" w:hanging="180"/>
      </w:pPr>
    </w:lvl>
  </w:abstractNum>
  <w:abstractNum w:abstractNumId="22"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15:restartNumberingAfterBreak="0">
    <w:nsid w:val="57F507E2"/>
    <w:multiLevelType w:val="multilevel"/>
    <w:tmpl w:val="2F18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83908"/>
    <w:multiLevelType w:val="multilevel"/>
    <w:tmpl w:val="A02E932A"/>
    <w:numStyleLink w:val="BulletsAgency"/>
  </w:abstractNum>
  <w:abstractNum w:abstractNumId="25" w15:restartNumberingAfterBreak="0">
    <w:nsid w:val="5C016D25"/>
    <w:multiLevelType w:val="hybridMultilevel"/>
    <w:tmpl w:val="0BCA80C2"/>
    <w:lvl w:ilvl="0" w:tplc="42448DEC">
      <w:start w:val="1"/>
      <w:numFmt w:val="bullet"/>
      <w:lvlText w:val="•"/>
      <w:lvlJc w:val="left"/>
      <w:pPr>
        <w:tabs>
          <w:tab w:val="num" w:pos="720"/>
        </w:tabs>
        <w:ind w:left="720" w:hanging="360"/>
      </w:pPr>
      <w:rPr>
        <w:rFonts w:ascii="Arial" w:hAnsi="Arial" w:hint="default"/>
      </w:rPr>
    </w:lvl>
    <w:lvl w:ilvl="1" w:tplc="41AA988E">
      <w:start w:val="1"/>
      <w:numFmt w:val="bullet"/>
      <w:lvlText w:val="•"/>
      <w:lvlJc w:val="left"/>
      <w:pPr>
        <w:tabs>
          <w:tab w:val="num" w:pos="1440"/>
        </w:tabs>
        <w:ind w:left="1440" w:hanging="360"/>
      </w:pPr>
      <w:rPr>
        <w:rFonts w:ascii="Arial" w:hAnsi="Arial" w:hint="default"/>
      </w:rPr>
    </w:lvl>
    <w:lvl w:ilvl="2" w:tplc="0C1287D6" w:tentative="1">
      <w:start w:val="1"/>
      <w:numFmt w:val="bullet"/>
      <w:lvlText w:val="•"/>
      <w:lvlJc w:val="left"/>
      <w:pPr>
        <w:tabs>
          <w:tab w:val="num" w:pos="2160"/>
        </w:tabs>
        <w:ind w:left="2160" w:hanging="360"/>
      </w:pPr>
      <w:rPr>
        <w:rFonts w:ascii="Arial" w:hAnsi="Arial" w:hint="default"/>
      </w:rPr>
    </w:lvl>
    <w:lvl w:ilvl="3" w:tplc="B4582AA4" w:tentative="1">
      <w:start w:val="1"/>
      <w:numFmt w:val="bullet"/>
      <w:lvlText w:val="•"/>
      <w:lvlJc w:val="left"/>
      <w:pPr>
        <w:tabs>
          <w:tab w:val="num" w:pos="2880"/>
        </w:tabs>
        <w:ind w:left="2880" w:hanging="360"/>
      </w:pPr>
      <w:rPr>
        <w:rFonts w:ascii="Arial" w:hAnsi="Arial" w:hint="default"/>
      </w:rPr>
    </w:lvl>
    <w:lvl w:ilvl="4" w:tplc="204ED2D2" w:tentative="1">
      <w:start w:val="1"/>
      <w:numFmt w:val="bullet"/>
      <w:lvlText w:val="•"/>
      <w:lvlJc w:val="left"/>
      <w:pPr>
        <w:tabs>
          <w:tab w:val="num" w:pos="3600"/>
        </w:tabs>
        <w:ind w:left="3600" w:hanging="360"/>
      </w:pPr>
      <w:rPr>
        <w:rFonts w:ascii="Arial" w:hAnsi="Arial" w:hint="default"/>
      </w:rPr>
    </w:lvl>
    <w:lvl w:ilvl="5" w:tplc="5994053A" w:tentative="1">
      <w:start w:val="1"/>
      <w:numFmt w:val="bullet"/>
      <w:lvlText w:val="•"/>
      <w:lvlJc w:val="left"/>
      <w:pPr>
        <w:tabs>
          <w:tab w:val="num" w:pos="4320"/>
        </w:tabs>
        <w:ind w:left="4320" w:hanging="360"/>
      </w:pPr>
      <w:rPr>
        <w:rFonts w:ascii="Arial" w:hAnsi="Arial" w:hint="default"/>
      </w:rPr>
    </w:lvl>
    <w:lvl w:ilvl="6" w:tplc="CC5EE73A" w:tentative="1">
      <w:start w:val="1"/>
      <w:numFmt w:val="bullet"/>
      <w:lvlText w:val="•"/>
      <w:lvlJc w:val="left"/>
      <w:pPr>
        <w:tabs>
          <w:tab w:val="num" w:pos="5040"/>
        </w:tabs>
        <w:ind w:left="5040" w:hanging="360"/>
      </w:pPr>
      <w:rPr>
        <w:rFonts w:ascii="Arial" w:hAnsi="Arial" w:hint="default"/>
      </w:rPr>
    </w:lvl>
    <w:lvl w:ilvl="7" w:tplc="49BC1088" w:tentative="1">
      <w:start w:val="1"/>
      <w:numFmt w:val="bullet"/>
      <w:lvlText w:val="•"/>
      <w:lvlJc w:val="left"/>
      <w:pPr>
        <w:tabs>
          <w:tab w:val="num" w:pos="5760"/>
        </w:tabs>
        <w:ind w:left="5760" w:hanging="360"/>
      </w:pPr>
      <w:rPr>
        <w:rFonts w:ascii="Arial" w:hAnsi="Arial" w:hint="default"/>
      </w:rPr>
    </w:lvl>
    <w:lvl w:ilvl="8" w:tplc="AEDCE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9B2B43"/>
    <w:multiLevelType w:val="hybridMultilevel"/>
    <w:tmpl w:val="3878E462"/>
    <w:lvl w:ilvl="0" w:tplc="97DC46EA">
      <w:start w:val="1"/>
      <w:numFmt w:val="bullet"/>
      <w:lvlText w:val=""/>
      <w:lvlJc w:val="left"/>
      <w:pPr>
        <w:ind w:left="360" w:hanging="360"/>
      </w:pPr>
      <w:rPr>
        <w:rFonts w:ascii="Symbol" w:hAnsi="Symbol" w:hint="default"/>
      </w:rPr>
    </w:lvl>
    <w:lvl w:ilvl="1" w:tplc="DA36019E" w:tentative="1">
      <w:start w:val="1"/>
      <w:numFmt w:val="bullet"/>
      <w:lvlText w:val="o"/>
      <w:lvlJc w:val="left"/>
      <w:pPr>
        <w:ind w:left="1080" w:hanging="360"/>
      </w:pPr>
      <w:rPr>
        <w:rFonts w:ascii="Courier New" w:hAnsi="Courier New" w:cs="Courier New" w:hint="default"/>
      </w:rPr>
    </w:lvl>
    <w:lvl w:ilvl="2" w:tplc="7EF0467A" w:tentative="1">
      <w:start w:val="1"/>
      <w:numFmt w:val="bullet"/>
      <w:lvlText w:val=""/>
      <w:lvlJc w:val="left"/>
      <w:pPr>
        <w:ind w:left="1800" w:hanging="360"/>
      </w:pPr>
      <w:rPr>
        <w:rFonts w:ascii="Wingdings" w:hAnsi="Wingdings" w:hint="default"/>
      </w:rPr>
    </w:lvl>
    <w:lvl w:ilvl="3" w:tplc="3FCE1EF8" w:tentative="1">
      <w:start w:val="1"/>
      <w:numFmt w:val="bullet"/>
      <w:lvlText w:val=""/>
      <w:lvlJc w:val="left"/>
      <w:pPr>
        <w:ind w:left="2520" w:hanging="360"/>
      </w:pPr>
      <w:rPr>
        <w:rFonts w:ascii="Symbol" w:hAnsi="Symbol" w:hint="default"/>
      </w:rPr>
    </w:lvl>
    <w:lvl w:ilvl="4" w:tplc="5E1CEE56" w:tentative="1">
      <w:start w:val="1"/>
      <w:numFmt w:val="bullet"/>
      <w:lvlText w:val="o"/>
      <w:lvlJc w:val="left"/>
      <w:pPr>
        <w:ind w:left="3240" w:hanging="360"/>
      </w:pPr>
      <w:rPr>
        <w:rFonts w:ascii="Courier New" w:hAnsi="Courier New" w:cs="Courier New" w:hint="default"/>
      </w:rPr>
    </w:lvl>
    <w:lvl w:ilvl="5" w:tplc="E04AF620" w:tentative="1">
      <w:start w:val="1"/>
      <w:numFmt w:val="bullet"/>
      <w:lvlText w:val=""/>
      <w:lvlJc w:val="left"/>
      <w:pPr>
        <w:ind w:left="3960" w:hanging="360"/>
      </w:pPr>
      <w:rPr>
        <w:rFonts w:ascii="Wingdings" w:hAnsi="Wingdings" w:hint="default"/>
      </w:rPr>
    </w:lvl>
    <w:lvl w:ilvl="6" w:tplc="D704307A" w:tentative="1">
      <w:start w:val="1"/>
      <w:numFmt w:val="bullet"/>
      <w:lvlText w:val=""/>
      <w:lvlJc w:val="left"/>
      <w:pPr>
        <w:ind w:left="4680" w:hanging="360"/>
      </w:pPr>
      <w:rPr>
        <w:rFonts w:ascii="Symbol" w:hAnsi="Symbol" w:hint="default"/>
      </w:rPr>
    </w:lvl>
    <w:lvl w:ilvl="7" w:tplc="40544EC8" w:tentative="1">
      <w:start w:val="1"/>
      <w:numFmt w:val="bullet"/>
      <w:lvlText w:val="o"/>
      <w:lvlJc w:val="left"/>
      <w:pPr>
        <w:ind w:left="5400" w:hanging="360"/>
      </w:pPr>
      <w:rPr>
        <w:rFonts w:ascii="Courier New" w:hAnsi="Courier New" w:cs="Courier New" w:hint="default"/>
      </w:rPr>
    </w:lvl>
    <w:lvl w:ilvl="8" w:tplc="D480C7B2" w:tentative="1">
      <w:start w:val="1"/>
      <w:numFmt w:val="bullet"/>
      <w:lvlText w:val=""/>
      <w:lvlJc w:val="left"/>
      <w:pPr>
        <w:ind w:left="6120" w:hanging="360"/>
      </w:pPr>
      <w:rPr>
        <w:rFonts w:ascii="Wingdings" w:hAnsi="Wingdings" w:hint="default"/>
      </w:rPr>
    </w:lvl>
  </w:abstractNum>
  <w:abstractNum w:abstractNumId="27" w15:restartNumberingAfterBreak="0">
    <w:nsid w:val="60D10D06"/>
    <w:multiLevelType w:val="hybridMultilevel"/>
    <w:tmpl w:val="56185B76"/>
    <w:lvl w:ilvl="0" w:tplc="CBC85068">
      <w:start w:val="1"/>
      <w:numFmt w:val="bullet"/>
      <w:lvlText w:val=""/>
      <w:lvlJc w:val="left"/>
      <w:pPr>
        <w:ind w:left="720" w:hanging="360"/>
      </w:pPr>
      <w:rPr>
        <w:rFonts w:ascii="Symbol" w:hAnsi="Symbol" w:hint="default"/>
      </w:rPr>
    </w:lvl>
    <w:lvl w:ilvl="1" w:tplc="368AACDA" w:tentative="1">
      <w:start w:val="1"/>
      <w:numFmt w:val="bullet"/>
      <w:lvlText w:val="o"/>
      <w:lvlJc w:val="left"/>
      <w:pPr>
        <w:ind w:left="1440" w:hanging="360"/>
      </w:pPr>
      <w:rPr>
        <w:rFonts w:ascii="Courier New" w:hAnsi="Courier New" w:cs="Courier New" w:hint="default"/>
      </w:rPr>
    </w:lvl>
    <w:lvl w:ilvl="2" w:tplc="CCDE1722" w:tentative="1">
      <w:start w:val="1"/>
      <w:numFmt w:val="bullet"/>
      <w:lvlText w:val=""/>
      <w:lvlJc w:val="left"/>
      <w:pPr>
        <w:ind w:left="2160" w:hanging="360"/>
      </w:pPr>
      <w:rPr>
        <w:rFonts w:ascii="Wingdings" w:hAnsi="Wingdings" w:hint="default"/>
      </w:rPr>
    </w:lvl>
    <w:lvl w:ilvl="3" w:tplc="E5B874C4" w:tentative="1">
      <w:start w:val="1"/>
      <w:numFmt w:val="bullet"/>
      <w:lvlText w:val=""/>
      <w:lvlJc w:val="left"/>
      <w:pPr>
        <w:ind w:left="2880" w:hanging="360"/>
      </w:pPr>
      <w:rPr>
        <w:rFonts w:ascii="Symbol" w:hAnsi="Symbol" w:hint="default"/>
      </w:rPr>
    </w:lvl>
    <w:lvl w:ilvl="4" w:tplc="1AE4F32A" w:tentative="1">
      <w:start w:val="1"/>
      <w:numFmt w:val="bullet"/>
      <w:lvlText w:val="o"/>
      <w:lvlJc w:val="left"/>
      <w:pPr>
        <w:ind w:left="3600" w:hanging="360"/>
      </w:pPr>
      <w:rPr>
        <w:rFonts w:ascii="Courier New" w:hAnsi="Courier New" w:cs="Courier New" w:hint="default"/>
      </w:rPr>
    </w:lvl>
    <w:lvl w:ilvl="5" w:tplc="138E91EA" w:tentative="1">
      <w:start w:val="1"/>
      <w:numFmt w:val="bullet"/>
      <w:lvlText w:val=""/>
      <w:lvlJc w:val="left"/>
      <w:pPr>
        <w:ind w:left="4320" w:hanging="360"/>
      </w:pPr>
      <w:rPr>
        <w:rFonts w:ascii="Wingdings" w:hAnsi="Wingdings" w:hint="default"/>
      </w:rPr>
    </w:lvl>
    <w:lvl w:ilvl="6" w:tplc="4BA09DCE" w:tentative="1">
      <w:start w:val="1"/>
      <w:numFmt w:val="bullet"/>
      <w:lvlText w:val=""/>
      <w:lvlJc w:val="left"/>
      <w:pPr>
        <w:ind w:left="5040" w:hanging="360"/>
      </w:pPr>
      <w:rPr>
        <w:rFonts w:ascii="Symbol" w:hAnsi="Symbol" w:hint="default"/>
      </w:rPr>
    </w:lvl>
    <w:lvl w:ilvl="7" w:tplc="84C4F5E4" w:tentative="1">
      <w:start w:val="1"/>
      <w:numFmt w:val="bullet"/>
      <w:lvlText w:val="o"/>
      <w:lvlJc w:val="left"/>
      <w:pPr>
        <w:ind w:left="5760" w:hanging="360"/>
      </w:pPr>
      <w:rPr>
        <w:rFonts w:ascii="Courier New" w:hAnsi="Courier New" w:cs="Courier New" w:hint="default"/>
      </w:rPr>
    </w:lvl>
    <w:lvl w:ilvl="8" w:tplc="E7C62C64" w:tentative="1">
      <w:start w:val="1"/>
      <w:numFmt w:val="bullet"/>
      <w:lvlText w:val=""/>
      <w:lvlJc w:val="left"/>
      <w:pPr>
        <w:ind w:left="6480" w:hanging="360"/>
      </w:pPr>
      <w:rPr>
        <w:rFonts w:ascii="Wingdings" w:hAnsi="Wingdings" w:hint="default"/>
      </w:rPr>
    </w:lvl>
  </w:abstractNum>
  <w:abstractNum w:abstractNumId="28" w15:restartNumberingAfterBreak="0">
    <w:nsid w:val="6205292C"/>
    <w:multiLevelType w:val="hybridMultilevel"/>
    <w:tmpl w:val="E6A633C6"/>
    <w:lvl w:ilvl="0" w:tplc="9C9A43FE">
      <w:start w:val="1"/>
      <w:numFmt w:val="bullet"/>
      <w:lvlText w:val=""/>
      <w:lvlJc w:val="left"/>
      <w:pPr>
        <w:ind w:left="360" w:hanging="360"/>
      </w:pPr>
      <w:rPr>
        <w:rFonts w:ascii="Symbol" w:hAnsi="Symbol" w:hint="default"/>
      </w:rPr>
    </w:lvl>
    <w:lvl w:ilvl="1" w:tplc="F1667322" w:tentative="1">
      <w:start w:val="1"/>
      <w:numFmt w:val="bullet"/>
      <w:lvlText w:val="o"/>
      <w:lvlJc w:val="left"/>
      <w:pPr>
        <w:ind w:left="1080" w:hanging="360"/>
      </w:pPr>
      <w:rPr>
        <w:rFonts w:ascii="Courier New" w:hAnsi="Courier New" w:cs="Courier New" w:hint="default"/>
      </w:rPr>
    </w:lvl>
    <w:lvl w:ilvl="2" w:tplc="72CA2264" w:tentative="1">
      <w:start w:val="1"/>
      <w:numFmt w:val="bullet"/>
      <w:lvlText w:val=""/>
      <w:lvlJc w:val="left"/>
      <w:pPr>
        <w:ind w:left="1800" w:hanging="360"/>
      </w:pPr>
      <w:rPr>
        <w:rFonts w:ascii="Wingdings" w:hAnsi="Wingdings" w:hint="default"/>
      </w:rPr>
    </w:lvl>
    <w:lvl w:ilvl="3" w:tplc="B4D4BCAC" w:tentative="1">
      <w:start w:val="1"/>
      <w:numFmt w:val="bullet"/>
      <w:lvlText w:val=""/>
      <w:lvlJc w:val="left"/>
      <w:pPr>
        <w:ind w:left="2520" w:hanging="360"/>
      </w:pPr>
      <w:rPr>
        <w:rFonts w:ascii="Symbol" w:hAnsi="Symbol" w:hint="default"/>
      </w:rPr>
    </w:lvl>
    <w:lvl w:ilvl="4" w:tplc="8C96F914" w:tentative="1">
      <w:start w:val="1"/>
      <w:numFmt w:val="bullet"/>
      <w:lvlText w:val="o"/>
      <w:lvlJc w:val="left"/>
      <w:pPr>
        <w:ind w:left="3240" w:hanging="360"/>
      </w:pPr>
      <w:rPr>
        <w:rFonts w:ascii="Courier New" w:hAnsi="Courier New" w:cs="Courier New" w:hint="default"/>
      </w:rPr>
    </w:lvl>
    <w:lvl w:ilvl="5" w:tplc="12A25178" w:tentative="1">
      <w:start w:val="1"/>
      <w:numFmt w:val="bullet"/>
      <w:lvlText w:val=""/>
      <w:lvlJc w:val="left"/>
      <w:pPr>
        <w:ind w:left="3960" w:hanging="360"/>
      </w:pPr>
      <w:rPr>
        <w:rFonts w:ascii="Wingdings" w:hAnsi="Wingdings" w:hint="default"/>
      </w:rPr>
    </w:lvl>
    <w:lvl w:ilvl="6" w:tplc="DC52C6A8" w:tentative="1">
      <w:start w:val="1"/>
      <w:numFmt w:val="bullet"/>
      <w:lvlText w:val=""/>
      <w:lvlJc w:val="left"/>
      <w:pPr>
        <w:ind w:left="4680" w:hanging="360"/>
      </w:pPr>
      <w:rPr>
        <w:rFonts w:ascii="Symbol" w:hAnsi="Symbol" w:hint="default"/>
      </w:rPr>
    </w:lvl>
    <w:lvl w:ilvl="7" w:tplc="A14A38F0" w:tentative="1">
      <w:start w:val="1"/>
      <w:numFmt w:val="bullet"/>
      <w:lvlText w:val="o"/>
      <w:lvlJc w:val="left"/>
      <w:pPr>
        <w:ind w:left="5400" w:hanging="360"/>
      </w:pPr>
      <w:rPr>
        <w:rFonts w:ascii="Courier New" w:hAnsi="Courier New" w:cs="Courier New" w:hint="default"/>
      </w:rPr>
    </w:lvl>
    <w:lvl w:ilvl="8" w:tplc="DDE2C952" w:tentative="1">
      <w:start w:val="1"/>
      <w:numFmt w:val="bullet"/>
      <w:lvlText w:val=""/>
      <w:lvlJc w:val="left"/>
      <w:pPr>
        <w:ind w:left="6120" w:hanging="360"/>
      </w:pPr>
      <w:rPr>
        <w:rFonts w:ascii="Wingdings" w:hAnsi="Wingdings" w:hint="default"/>
      </w:rPr>
    </w:lvl>
  </w:abstractNum>
  <w:abstractNum w:abstractNumId="29" w15:restartNumberingAfterBreak="0">
    <w:nsid w:val="6704574E"/>
    <w:multiLevelType w:val="hybridMultilevel"/>
    <w:tmpl w:val="905A52C6"/>
    <w:lvl w:ilvl="0" w:tplc="45FC431A">
      <w:start w:val="1"/>
      <w:numFmt w:val="bullet"/>
      <w:lvlText w:val=""/>
      <w:lvlJc w:val="left"/>
      <w:pPr>
        <w:ind w:left="720" w:hanging="360"/>
      </w:pPr>
      <w:rPr>
        <w:rFonts w:ascii="Symbol" w:hAnsi="Symbol" w:hint="default"/>
      </w:rPr>
    </w:lvl>
    <w:lvl w:ilvl="1" w:tplc="92CC3968" w:tentative="1">
      <w:start w:val="1"/>
      <w:numFmt w:val="bullet"/>
      <w:lvlText w:val="o"/>
      <w:lvlJc w:val="left"/>
      <w:pPr>
        <w:ind w:left="1440" w:hanging="360"/>
      </w:pPr>
      <w:rPr>
        <w:rFonts w:ascii="Courier New" w:hAnsi="Courier New" w:cs="Courier New" w:hint="default"/>
      </w:rPr>
    </w:lvl>
    <w:lvl w:ilvl="2" w:tplc="A7D40AF8" w:tentative="1">
      <w:start w:val="1"/>
      <w:numFmt w:val="bullet"/>
      <w:lvlText w:val=""/>
      <w:lvlJc w:val="left"/>
      <w:pPr>
        <w:ind w:left="2160" w:hanging="360"/>
      </w:pPr>
      <w:rPr>
        <w:rFonts w:ascii="Wingdings" w:hAnsi="Wingdings" w:hint="default"/>
      </w:rPr>
    </w:lvl>
    <w:lvl w:ilvl="3" w:tplc="0C5C82B2" w:tentative="1">
      <w:start w:val="1"/>
      <w:numFmt w:val="bullet"/>
      <w:lvlText w:val=""/>
      <w:lvlJc w:val="left"/>
      <w:pPr>
        <w:ind w:left="2880" w:hanging="360"/>
      </w:pPr>
      <w:rPr>
        <w:rFonts w:ascii="Symbol" w:hAnsi="Symbol" w:hint="default"/>
      </w:rPr>
    </w:lvl>
    <w:lvl w:ilvl="4" w:tplc="5CF46E74" w:tentative="1">
      <w:start w:val="1"/>
      <w:numFmt w:val="bullet"/>
      <w:lvlText w:val="o"/>
      <w:lvlJc w:val="left"/>
      <w:pPr>
        <w:ind w:left="3600" w:hanging="360"/>
      </w:pPr>
      <w:rPr>
        <w:rFonts w:ascii="Courier New" w:hAnsi="Courier New" w:cs="Courier New" w:hint="default"/>
      </w:rPr>
    </w:lvl>
    <w:lvl w:ilvl="5" w:tplc="D0C21896" w:tentative="1">
      <w:start w:val="1"/>
      <w:numFmt w:val="bullet"/>
      <w:lvlText w:val=""/>
      <w:lvlJc w:val="left"/>
      <w:pPr>
        <w:ind w:left="4320" w:hanging="360"/>
      </w:pPr>
      <w:rPr>
        <w:rFonts w:ascii="Wingdings" w:hAnsi="Wingdings" w:hint="default"/>
      </w:rPr>
    </w:lvl>
    <w:lvl w:ilvl="6" w:tplc="75EE86A0" w:tentative="1">
      <w:start w:val="1"/>
      <w:numFmt w:val="bullet"/>
      <w:lvlText w:val=""/>
      <w:lvlJc w:val="left"/>
      <w:pPr>
        <w:ind w:left="5040" w:hanging="360"/>
      </w:pPr>
      <w:rPr>
        <w:rFonts w:ascii="Symbol" w:hAnsi="Symbol" w:hint="default"/>
      </w:rPr>
    </w:lvl>
    <w:lvl w:ilvl="7" w:tplc="48184BF0" w:tentative="1">
      <w:start w:val="1"/>
      <w:numFmt w:val="bullet"/>
      <w:lvlText w:val="o"/>
      <w:lvlJc w:val="left"/>
      <w:pPr>
        <w:ind w:left="5760" w:hanging="360"/>
      </w:pPr>
      <w:rPr>
        <w:rFonts w:ascii="Courier New" w:hAnsi="Courier New" w:cs="Courier New" w:hint="default"/>
      </w:rPr>
    </w:lvl>
    <w:lvl w:ilvl="8" w:tplc="87F2D364" w:tentative="1">
      <w:start w:val="1"/>
      <w:numFmt w:val="bullet"/>
      <w:lvlText w:val=""/>
      <w:lvlJc w:val="left"/>
      <w:pPr>
        <w:ind w:left="6480" w:hanging="360"/>
      </w:pPr>
      <w:rPr>
        <w:rFonts w:ascii="Wingdings" w:hAnsi="Wingdings" w:hint="default"/>
      </w:rPr>
    </w:lvl>
  </w:abstractNum>
  <w:abstractNum w:abstractNumId="30" w15:restartNumberingAfterBreak="0">
    <w:nsid w:val="67F91BFC"/>
    <w:multiLevelType w:val="hybridMultilevel"/>
    <w:tmpl w:val="95486E3C"/>
    <w:lvl w:ilvl="0" w:tplc="28BC2C0E">
      <w:start w:val="1"/>
      <w:numFmt w:val="bullet"/>
      <w:lvlText w:val=""/>
      <w:lvlJc w:val="left"/>
      <w:pPr>
        <w:ind w:left="360" w:hanging="360"/>
      </w:pPr>
      <w:rPr>
        <w:rFonts w:ascii="Symbol" w:hAnsi="Symbol" w:hint="default"/>
      </w:rPr>
    </w:lvl>
    <w:lvl w:ilvl="1" w:tplc="707EEEEA" w:tentative="1">
      <w:start w:val="1"/>
      <w:numFmt w:val="bullet"/>
      <w:lvlText w:val="o"/>
      <w:lvlJc w:val="left"/>
      <w:pPr>
        <w:ind w:left="1080" w:hanging="360"/>
      </w:pPr>
      <w:rPr>
        <w:rFonts w:ascii="Courier New" w:hAnsi="Courier New" w:cs="Courier New" w:hint="default"/>
      </w:rPr>
    </w:lvl>
    <w:lvl w:ilvl="2" w:tplc="41FA760E" w:tentative="1">
      <w:start w:val="1"/>
      <w:numFmt w:val="bullet"/>
      <w:lvlText w:val=""/>
      <w:lvlJc w:val="left"/>
      <w:pPr>
        <w:ind w:left="1800" w:hanging="360"/>
      </w:pPr>
      <w:rPr>
        <w:rFonts w:ascii="Wingdings" w:hAnsi="Wingdings" w:hint="default"/>
      </w:rPr>
    </w:lvl>
    <w:lvl w:ilvl="3" w:tplc="79566E68" w:tentative="1">
      <w:start w:val="1"/>
      <w:numFmt w:val="bullet"/>
      <w:lvlText w:val=""/>
      <w:lvlJc w:val="left"/>
      <w:pPr>
        <w:ind w:left="2520" w:hanging="360"/>
      </w:pPr>
      <w:rPr>
        <w:rFonts w:ascii="Symbol" w:hAnsi="Symbol" w:hint="default"/>
      </w:rPr>
    </w:lvl>
    <w:lvl w:ilvl="4" w:tplc="25A6C340" w:tentative="1">
      <w:start w:val="1"/>
      <w:numFmt w:val="bullet"/>
      <w:lvlText w:val="o"/>
      <w:lvlJc w:val="left"/>
      <w:pPr>
        <w:ind w:left="3240" w:hanging="360"/>
      </w:pPr>
      <w:rPr>
        <w:rFonts w:ascii="Courier New" w:hAnsi="Courier New" w:cs="Courier New" w:hint="default"/>
      </w:rPr>
    </w:lvl>
    <w:lvl w:ilvl="5" w:tplc="FEFA6228" w:tentative="1">
      <w:start w:val="1"/>
      <w:numFmt w:val="bullet"/>
      <w:lvlText w:val=""/>
      <w:lvlJc w:val="left"/>
      <w:pPr>
        <w:ind w:left="3960" w:hanging="360"/>
      </w:pPr>
      <w:rPr>
        <w:rFonts w:ascii="Wingdings" w:hAnsi="Wingdings" w:hint="default"/>
      </w:rPr>
    </w:lvl>
    <w:lvl w:ilvl="6" w:tplc="29EA593E" w:tentative="1">
      <w:start w:val="1"/>
      <w:numFmt w:val="bullet"/>
      <w:lvlText w:val=""/>
      <w:lvlJc w:val="left"/>
      <w:pPr>
        <w:ind w:left="4680" w:hanging="360"/>
      </w:pPr>
      <w:rPr>
        <w:rFonts w:ascii="Symbol" w:hAnsi="Symbol" w:hint="default"/>
      </w:rPr>
    </w:lvl>
    <w:lvl w:ilvl="7" w:tplc="3AC06526" w:tentative="1">
      <w:start w:val="1"/>
      <w:numFmt w:val="bullet"/>
      <w:lvlText w:val="o"/>
      <w:lvlJc w:val="left"/>
      <w:pPr>
        <w:ind w:left="5400" w:hanging="360"/>
      </w:pPr>
      <w:rPr>
        <w:rFonts w:ascii="Courier New" w:hAnsi="Courier New" w:cs="Courier New" w:hint="default"/>
      </w:rPr>
    </w:lvl>
    <w:lvl w:ilvl="8" w:tplc="01AC8856" w:tentative="1">
      <w:start w:val="1"/>
      <w:numFmt w:val="bullet"/>
      <w:lvlText w:val=""/>
      <w:lvlJc w:val="left"/>
      <w:pPr>
        <w:ind w:left="6120" w:hanging="360"/>
      </w:pPr>
      <w:rPr>
        <w:rFonts w:ascii="Wingdings" w:hAnsi="Wingdings" w:hint="default"/>
      </w:rPr>
    </w:lvl>
  </w:abstractNum>
  <w:abstractNum w:abstractNumId="31" w15:restartNumberingAfterBreak="0">
    <w:nsid w:val="6A6B5A46"/>
    <w:multiLevelType w:val="hybridMultilevel"/>
    <w:tmpl w:val="EFE0FC8C"/>
    <w:lvl w:ilvl="0" w:tplc="F656D2DE">
      <w:start w:val="1"/>
      <w:numFmt w:val="bullet"/>
      <w:lvlText w:val=""/>
      <w:lvlJc w:val="left"/>
      <w:pPr>
        <w:ind w:left="720" w:hanging="360"/>
      </w:pPr>
      <w:rPr>
        <w:rFonts w:ascii="Symbol" w:hAnsi="Symbol" w:hint="default"/>
      </w:rPr>
    </w:lvl>
    <w:lvl w:ilvl="1" w:tplc="490EEF2A" w:tentative="1">
      <w:start w:val="1"/>
      <w:numFmt w:val="bullet"/>
      <w:lvlText w:val="o"/>
      <w:lvlJc w:val="left"/>
      <w:pPr>
        <w:ind w:left="1440" w:hanging="360"/>
      </w:pPr>
      <w:rPr>
        <w:rFonts w:ascii="Courier New" w:hAnsi="Courier New" w:cs="Courier New" w:hint="default"/>
      </w:rPr>
    </w:lvl>
    <w:lvl w:ilvl="2" w:tplc="C95E9D7E" w:tentative="1">
      <w:start w:val="1"/>
      <w:numFmt w:val="bullet"/>
      <w:lvlText w:val=""/>
      <w:lvlJc w:val="left"/>
      <w:pPr>
        <w:ind w:left="2160" w:hanging="360"/>
      </w:pPr>
      <w:rPr>
        <w:rFonts w:ascii="Wingdings" w:hAnsi="Wingdings" w:hint="default"/>
      </w:rPr>
    </w:lvl>
    <w:lvl w:ilvl="3" w:tplc="53FA1EB8" w:tentative="1">
      <w:start w:val="1"/>
      <w:numFmt w:val="bullet"/>
      <w:lvlText w:val=""/>
      <w:lvlJc w:val="left"/>
      <w:pPr>
        <w:ind w:left="2880" w:hanging="360"/>
      </w:pPr>
      <w:rPr>
        <w:rFonts w:ascii="Symbol" w:hAnsi="Symbol" w:hint="default"/>
      </w:rPr>
    </w:lvl>
    <w:lvl w:ilvl="4" w:tplc="C77A469A" w:tentative="1">
      <w:start w:val="1"/>
      <w:numFmt w:val="bullet"/>
      <w:lvlText w:val="o"/>
      <w:lvlJc w:val="left"/>
      <w:pPr>
        <w:ind w:left="3600" w:hanging="360"/>
      </w:pPr>
      <w:rPr>
        <w:rFonts w:ascii="Courier New" w:hAnsi="Courier New" w:cs="Courier New" w:hint="default"/>
      </w:rPr>
    </w:lvl>
    <w:lvl w:ilvl="5" w:tplc="08560F70" w:tentative="1">
      <w:start w:val="1"/>
      <w:numFmt w:val="bullet"/>
      <w:lvlText w:val=""/>
      <w:lvlJc w:val="left"/>
      <w:pPr>
        <w:ind w:left="4320" w:hanging="360"/>
      </w:pPr>
      <w:rPr>
        <w:rFonts w:ascii="Wingdings" w:hAnsi="Wingdings" w:hint="default"/>
      </w:rPr>
    </w:lvl>
    <w:lvl w:ilvl="6" w:tplc="B44A0AD8" w:tentative="1">
      <w:start w:val="1"/>
      <w:numFmt w:val="bullet"/>
      <w:lvlText w:val=""/>
      <w:lvlJc w:val="left"/>
      <w:pPr>
        <w:ind w:left="5040" w:hanging="360"/>
      </w:pPr>
      <w:rPr>
        <w:rFonts w:ascii="Symbol" w:hAnsi="Symbol" w:hint="default"/>
      </w:rPr>
    </w:lvl>
    <w:lvl w:ilvl="7" w:tplc="4D24F0C4" w:tentative="1">
      <w:start w:val="1"/>
      <w:numFmt w:val="bullet"/>
      <w:lvlText w:val="o"/>
      <w:lvlJc w:val="left"/>
      <w:pPr>
        <w:ind w:left="5760" w:hanging="360"/>
      </w:pPr>
      <w:rPr>
        <w:rFonts w:ascii="Courier New" w:hAnsi="Courier New" w:cs="Courier New" w:hint="default"/>
      </w:rPr>
    </w:lvl>
    <w:lvl w:ilvl="8" w:tplc="258CE918" w:tentative="1">
      <w:start w:val="1"/>
      <w:numFmt w:val="bullet"/>
      <w:lvlText w:val=""/>
      <w:lvlJc w:val="left"/>
      <w:pPr>
        <w:ind w:left="6480" w:hanging="360"/>
      </w:pPr>
      <w:rPr>
        <w:rFonts w:ascii="Wingdings" w:hAnsi="Wingdings" w:hint="default"/>
      </w:rPr>
    </w:lvl>
  </w:abstractNum>
  <w:abstractNum w:abstractNumId="32" w15:restartNumberingAfterBreak="0">
    <w:nsid w:val="6B375CFF"/>
    <w:multiLevelType w:val="hybridMultilevel"/>
    <w:tmpl w:val="3ECEC788"/>
    <w:lvl w:ilvl="0" w:tplc="F4D8A58A">
      <w:start w:val="1"/>
      <w:numFmt w:val="bullet"/>
      <w:lvlText w:val=""/>
      <w:lvlJc w:val="left"/>
      <w:pPr>
        <w:ind w:left="360" w:hanging="360"/>
      </w:pPr>
      <w:rPr>
        <w:rFonts w:ascii="Symbol" w:hAnsi="Symbol" w:hint="default"/>
      </w:rPr>
    </w:lvl>
    <w:lvl w:ilvl="1" w:tplc="1A5A5E5C" w:tentative="1">
      <w:start w:val="1"/>
      <w:numFmt w:val="bullet"/>
      <w:lvlText w:val="o"/>
      <w:lvlJc w:val="left"/>
      <w:pPr>
        <w:ind w:left="1080" w:hanging="360"/>
      </w:pPr>
      <w:rPr>
        <w:rFonts w:ascii="Courier New" w:hAnsi="Courier New" w:cs="Courier New" w:hint="default"/>
      </w:rPr>
    </w:lvl>
    <w:lvl w:ilvl="2" w:tplc="47141B2E" w:tentative="1">
      <w:start w:val="1"/>
      <w:numFmt w:val="bullet"/>
      <w:lvlText w:val=""/>
      <w:lvlJc w:val="left"/>
      <w:pPr>
        <w:ind w:left="1800" w:hanging="360"/>
      </w:pPr>
      <w:rPr>
        <w:rFonts w:ascii="Wingdings" w:hAnsi="Wingdings" w:hint="default"/>
      </w:rPr>
    </w:lvl>
    <w:lvl w:ilvl="3" w:tplc="1898CDD4" w:tentative="1">
      <w:start w:val="1"/>
      <w:numFmt w:val="bullet"/>
      <w:lvlText w:val=""/>
      <w:lvlJc w:val="left"/>
      <w:pPr>
        <w:ind w:left="2520" w:hanging="360"/>
      </w:pPr>
      <w:rPr>
        <w:rFonts w:ascii="Symbol" w:hAnsi="Symbol" w:hint="default"/>
      </w:rPr>
    </w:lvl>
    <w:lvl w:ilvl="4" w:tplc="D7F67E98" w:tentative="1">
      <w:start w:val="1"/>
      <w:numFmt w:val="bullet"/>
      <w:lvlText w:val="o"/>
      <w:lvlJc w:val="left"/>
      <w:pPr>
        <w:ind w:left="3240" w:hanging="360"/>
      </w:pPr>
      <w:rPr>
        <w:rFonts w:ascii="Courier New" w:hAnsi="Courier New" w:cs="Courier New" w:hint="default"/>
      </w:rPr>
    </w:lvl>
    <w:lvl w:ilvl="5" w:tplc="03C85762" w:tentative="1">
      <w:start w:val="1"/>
      <w:numFmt w:val="bullet"/>
      <w:lvlText w:val=""/>
      <w:lvlJc w:val="left"/>
      <w:pPr>
        <w:ind w:left="3960" w:hanging="360"/>
      </w:pPr>
      <w:rPr>
        <w:rFonts w:ascii="Wingdings" w:hAnsi="Wingdings" w:hint="default"/>
      </w:rPr>
    </w:lvl>
    <w:lvl w:ilvl="6" w:tplc="CFA22BFC" w:tentative="1">
      <w:start w:val="1"/>
      <w:numFmt w:val="bullet"/>
      <w:lvlText w:val=""/>
      <w:lvlJc w:val="left"/>
      <w:pPr>
        <w:ind w:left="4680" w:hanging="360"/>
      </w:pPr>
      <w:rPr>
        <w:rFonts w:ascii="Symbol" w:hAnsi="Symbol" w:hint="default"/>
      </w:rPr>
    </w:lvl>
    <w:lvl w:ilvl="7" w:tplc="E0220314" w:tentative="1">
      <w:start w:val="1"/>
      <w:numFmt w:val="bullet"/>
      <w:lvlText w:val="o"/>
      <w:lvlJc w:val="left"/>
      <w:pPr>
        <w:ind w:left="5400" w:hanging="360"/>
      </w:pPr>
      <w:rPr>
        <w:rFonts w:ascii="Courier New" w:hAnsi="Courier New" w:cs="Courier New" w:hint="default"/>
      </w:rPr>
    </w:lvl>
    <w:lvl w:ilvl="8" w:tplc="70F6EE52" w:tentative="1">
      <w:start w:val="1"/>
      <w:numFmt w:val="bullet"/>
      <w:lvlText w:val=""/>
      <w:lvlJc w:val="left"/>
      <w:pPr>
        <w:ind w:left="6120" w:hanging="360"/>
      </w:pPr>
      <w:rPr>
        <w:rFonts w:ascii="Wingdings" w:hAnsi="Wingdings" w:hint="default"/>
      </w:rPr>
    </w:lvl>
  </w:abstractNum>
  <w:abstractNum w:abstractNumId="33" w15:restartNumberingAfterBreak="0">
    <w:nsid w:val="6C3165D9"/>
    <w:multiLevelType w:val="hybridMultilevel"/>
    <w:tmpl w:val="1AB88FA6"/>
    <w:lvl w:ilvl="0" w:tplc="8174AF00">
      <w:start w:val="1"/>
      <w:numFmt w:val="bullet"/>
      <w:lvlText w:val=""/>
      <w:lvlJc w:val="left"/>
      <w:pPr>
        <w:ind w:left="720" w:hanging="360"/>
      </w:pPr>
      <w:rPr>
        <w:rFonts w:ascii="Symbol" w:hAnsi="Symbol" w:hint="default"/>
      </w:rPr>
    </w:lvl>
    <w:lvl w:ilvl="1" w:tplc="19E82376" w:tentative="1">
      <w:start w:val="1"/>
      <w:numFmt w:val="bullet"/>
      <w:lvlText w:val="o"/>
      <w:lvlJc w:val="left"/>
      <w:pPr>
        <w:ind w:left="1440" w:hanging="360"/>
      </w:pPr>
      <w:rPr>
        <w:rFonts w:ascii="Courier New" w:hAnsi="Courier New" w:cs="Courier New" w:hint="default"/>
      </w:rPr>
    </w:lvl>
    <w:lvl w:ilvl="2" w:tplc="C76E62E0" w:tentative="1">
      <w:start w:val="1"/>
      <w:numFmt w:val="bullet"/>
      <w:lvlText w:val=""/>
      <w:lvlJc w:val="left"/>
      <w:pPr>
        <w:ind w:left="2160" w:hanging="360"/>
      </w:pPr>
      <w:rPr>
        <w:rFonts w:ascii="Wingdings" w:hAnsi="Wingdings" w:hint="default"/>
      </w:rPr>
    </w:lvl>
    <w:lvl w:ilvl="3" w:tplc="99E6AFCA" w:tentative="1">
      <w:start w:val="1"/>
      <w:numFmt w:val="bullet"/>
      <w:lvlText w:val=""/>
      <w:lvlJc w:val="left"/>
      <w:pPr>
        <w:ind w:left="2880" w:hanging="360"/>
      </w:pPr>
      <w:rPr>
        <w:rFonts w:ascii="Symbol" w:hAnsi="Symbol" w:hint="default"/>
      </w:rPr>
    </w:lvl>
    <w:lvl w:ilvl="4" w:tplc="531E0D20" w:tentative="1">
      <w:start w:val="1"/>
      <w:numFmt w:val="bullet"/>
      <w:lvlText w:val="o"/>
      <w:lvlJc w:val="left"/>
      <w:pPr>
        <w:ind w:left="3600" w:hanging="360"/>
      </w:pPr>
      <w:rPr>
        <w:rFonts w:ascii="Courier New" w:hAnsi="Courier New" w:cs="Courier New" w:hint="default"/>
      </w:rPr>
    </w:lvl>
    <w:lvl w:ilvl="5" w:tplc="CEF87752" w:tentative="1">
      <w:start w:val="1"/>
      <w:numFmt w:val="bullet"/>
      <w:lvlText w:val=""/>
      <w:lvlJc w:val="left"/>
      <w:pPr>
        <w:ind w:left="4320" w:hanging="360"/>
      </w:pPr>
      <w:rPr>
        <w:rFonts w:ascii="Wingdings" w:hAnsi="Wingdings" w:hint="default"/>
      </w:rPr>
    </w:lvl>
    <w:lvl w:ilvl="6" w:tplc="DEDC3FF0" w:tentative="1">
      <w:start w:val="1"/>
      <w:numFmt w:val="bullet"/>
      <w:lvlText w:val=""/>
      <w:lvlJc w:val="left"/>
      <w:pPr>
        <w:ind w:left="5040" w:hanging="360"/>
      </w:pPr>
      <w:rPr>
        <w:rFonts w:ascii="Symbol" w:hAnsi="Symbol" w:hint="default"/>
      </w:rPr>
    </w:lvl>
    <w:lvl w:ilvl="7" w:tplc="4FCA8F3E" w:tentative="1">
      <w:start w:val="1"/>
      <w:numFmt w:val="bullet"/>
      <w:lvlText w:val="o"/>
      <w:lvlJc w:val="left"/>
      <w:pPr>
        <w:ind w:left="5760" w:hanging="360"/>
      </w:pPr>
      <w:rPr>
        <w:rFonts w:ascii="Courier New" w:hAnsi="Courier New" w:cs="Courier New" w:hint="default"/>
      </w:rPr>
    </w:lvl>
    <w:lvl w:ilvl="8" w:tplc="D7101A90" w:tentative="1">
      <w:start w:val="1"/>
      <w:numFmt w:val="bullet"/>
      <w:lvlText w:val=""/>
      <w:lvlJc w:val="left"/>
      <w:pPr>
        <w:ind w:left="6480" w:hanging="360"/>
      </w:pPr>
      <w:rPr>
        <w:rFonts w:ascii="Wingdings" w:hAnsi="Wingdings" w:hint="default"/>
      </w:rPr>
    </w:lvl>
  </w:abstractNum>
  <w:abstractNum w:abstractNumId="34" w15:restartNumberingAfterBreak="0">
    <w:nsid w:val="784F3B31"/>
    <w:multiLevelType w:val="hybridMultilevel"/>
    <w:tmpl w:val="E8189CCC"/>
    <w:lvl w:ilvl="0" w:tplc="B448D3A2">
      <w:start w:val="1"/>
      <w:numFmt w:val="bullet"/>
      <w:lvlText w:val=""/>
      <w:lvlJc w:val="left"/>
      <w:pPr>
        <w:ind w:left="360" w:hanging="360"/>
      </w:pPr>
      <w:rPr>
        <w:rFonts w:ascii="Symbol" w:hAnsi="Symbol" w:hint="default"/>
      </w:rPr>
    </w:lvl>
    <w:lvl w:ilvl="1" w:tplc="7C22CAD4" w:tentative="1">
      <w:start w:val="1"/>
      <w:numFmt w:val="bullet"/>
      <w:lvlText w:val="o"/>
      <w:lvlJc w:val="left"/>
      <w:pPr>
        <w:ind w:left="1080" w:hanging="360"/>
      </w:pPr>
      <w:rPr>
        <w:rFonts w:ascii="Courier New" w:hAnsi="Courier New" w:cs="Courier New" w:hint="default"/>
      </w:rPr>
    </w:lvl>
    <w:lvl w:ilvl="2" w:tplc="D228FC50" w:tentative="1">
      <w:start w:val="1"/>
      <w:numFmt w:val="bullet"/>
      <w:lvlText w:val=""/>
      <w:lvlJc w:val="left"/>
      <w:pPr>
        <w:ind w:left="1800" w:hanging="360"/>
      </w:pPr>
      <w:rPr>
        <w:rFonts w:ascii="Wingdings" w:hAnsi="Wingdings" w:hint="default"/>
      </w:rPr>
    </w:lvl>
    <w:lvl w:ilvl="3" w:tplc="175EDA6A" w:tentative="1">
      <w:start w:val="1"/>
      <w:numFmt w:val="bullet"/>
      <w:lvlText w:val=""/>
      <w:lvlJc w:val="left"/>
      <w:pPr>
        <w:ind w:left="2520" w:hanging="360"/>
      </w:pPr>
      <w:rPr>
        <w:rFonts w:ascii="Symbol" w:hAnsi="Symbol" w:hint="default"/>
      </w:rPr>
    </w:lvl>
    <w:lvl w:ilvl="4" w:tplc="A896EEB4" w:tentative="1">
      <w:start w:val="1"/>
      <w:numFmt w:val="bullet"/>
      <w:lvlText w:val="o"/>
      <w:lvlJc w:val="left"/>
      <w:pPr>
        <w:ind w:left="3240" w:hanging="360"/>
      </w:pPr>
      <w:rPr>
        <w:rFonts w:ascii="Courier New" w:hAnsi="Courier New" w:cs="Courier New" w:hint="default"/>
      </w:rPr>
    </w:lvl>
    <w:lvl w:ilvl="5" w:tplc="2D80FBB6" w:tentative="1">
      <w:start w:val="1"/>
      <w:numFmt w:val="bullet"/>
      <w:lvlText w:val=""/>
      <w:lvlJc w:val="left"/>
      <w:pPr>
        <w:ind w:left="3960" w:hanging="360"/>
      </w:pPr>
      <w:rPr>
        <w:rFonts w:ascii="Wingdings" w:hAnsi="Wingdings" w:hint="default"/>
      </w:rPr>
    </w:lvl>
    <w:lvl w:ilvl="6" w:tplc="1D629F2C" w:tentative="1">
      <w:start w:val="1"/>
      <w:numFmt w:val="bullet"/>
      <w:lvlText w:val=""/>
      <w:lvlJc w:val="left"/>
      <w:pPr>
        <w:ind w:left="4680" w:hanging="360"/>
      </w:pPr>
      <w:rPr>
        <w:rFonts w:ascii="Symbol" w:hAnsi="Symbol" w:hint="default"/>
      </w:rPr>
    </w:lvl>
    <w:lvl w:ilvl="7" w:tplc="FEA0C898" w:tentative="1">
      <w:start w:val="1"/>
      <w:numFmt w:val="bullet"/>
      <w:lvlText w:val="o"/>
      <w:lvlJc w:val="left"/>
      <w:pPr>
        <w:ind w:left="5400" w:hanging="360"/>
      </w:pPr>
      <w:rPr>
        <w:rFonts w:ascii="Courier New" w:hAnsi="Courier New" w:cs="Courier New" w:hint="default"/>
      </w:rPr>
    </w:lvl>
    <w:lvl w:ilvl="8" w:tplc="01BCC844" w:tentative="1">
      <w:start w:val="1"/>
      <w:numFmt w:val="bullet"/>
      <w:lvlText w:val=""/>
      <w:lvlJc w:val="left"/>
      <w:pPr>
        <w:ind w:left="6120" w:hanging="360"/>
      </w:pPr>
      <w:rPr>
        <w:rFonts w:ascii="Wingdings" w:hAnsi="Wingdings" w:hint="default"/>
      </w:rPr>
    </w:lvl>
  </w:abstractNum>
  <w:abstractNum w:abstractNumId="35" w15:restartNumberingAfterBreak="0">
    <w:nsid w:val="7907629F"/>
    <w:multiLevelType w:val="hybridMultilevel"/>
    <w:tmpl w:val="88EAFCB6"/>
    <w:lvl w:ilvl="0" w:tplc="60425C2C">
      <w:start w:val="1"/>
      <w:numFmt w:val="bullet"/>
      <w:lvlText w:val=""/>
      <w:lvlJc w:val="left"/>
      <w:pPr>
        <w:ind w:left="720" w:hanging="360"/>
      </w:pPr>
      <w:rPr>
        <w:rFonts w:ascii="Symbol" w:hAnsi="Symbol" w:hint="default"/>
      </w:rPr>
    </w:lvl>
    <w:lvl w:ilvl="1" w:tplc="9328FC70" w:tentative="1">
      <w:start w:val="1"/>
      <w:numFmt w:val="bullet"/>
      <w:lvlText w:val="o"/>
      <w:lvlJc w:val="left"/>
      <w:pPr>
        <w:ind w:left="1440" w:hanging="360"/>
      </w:pPr>
      <w:rPr>
        <w:rFonts w:ascii="Courier New" w:hAnsi="Courier New" w:cs="Courier New" w:hint="default"/>
      </w:rPr>
    </w:lvl>
    <w:lvl w:ilvl="2" w:tplc="E9B8EE00" w:tentative="1">
      <w:start w:val="1"/>
      <w:numFmt w:val="bullet"/>
      <w:lvlText w:val=""/>
      <w:lvlJc w:val="left"/>
      <w:pPr>
        <w:ind w:left="2160" w:hanging="360"/>
      </w:pPr>
      <w:rPr>
        <w:rFonts w:ascii="Wingdings" w:hAnsi="Wingdings" w:hint="default"/>
      </w:rPr>
    </w:lvl>
    <w:lvl w:ilvl="3" w:tplc="354619FA" w:tentative="1">
      <w:start w:val="1"/>
      <w:numFmt w:val="bullet"/>
      <w:lvlText w:val=""/>
      <w:lvlJc w:val="left"/>
      <w:pPr>
        <w:ind w:left="2880" w:hanging="360"/>
      </w:pPr>
      <w:rPr>
        <w:rFonts w:ascii="Symbol" w:hAnsi="Symbol" w:hint="default"/>
      </w:rPr>
    </w:lvl>
    <w:lvl w:ilvl="4" w:tplc="0E402C40" w:tentative="1">
      <w:start w:val="1"/>
      <w:numFmt w:val="bullet"/>
      <w:lvlText w:val="o"/>
      <w:lvlJc w:val="left"/>
      <w:pPr>
        <w:ind w:left="3600" w:hanging="360"/>
      </w:pPr>
      <w:rPr>
        <w:rFonts w:ascii="Courier New" w:hAnsi="Courier New" w:cs="Courier New" w:hint="default"/>
      </w:rPr>
    </w:lvl>
    <w:lvl w:ilvl="5" w:tplc="E604BA0C" w:tentative="1">
      <w:start w:val="1"/>
      <w:numFmt w:val="bullet"/>
      <w:lvlText w:val=""/>
      <w:lvlJc w:val="left"/>
      <w:pPr>
        <w:ind w:left="4320" w:hanging="360"/>
      </w:pPr>
      <w:rPr>
        <w:rFonts w:ascii="Wingdings" w:hAnsi="Wingdings" w:hint="default"/>
      </w:rPr>
    </w:lvl>
    <w:lvl w:ilvl="6" w:tplc="DFAA083A" w:tentative="1">
      <w:start w:val="1"/>
      <w:numFmt w:val="bullet"/>
      <w:lvlText w:val=""/>
      <w:lvlJc w:val="left"/>
      <w:pPr>
        <w:ind w:left="5040" w:hanging="360"/>
      </w:pPr>
      <w:rPr>
        <w:rFonts w:ascii="Symbol" w:hAnsi="Symbol" w:hint="default"/>
      </w:rPr>
    </w:lvl>
    <w:lvl w:ilvl="7" w:tplc="1CC62462" w:tentative="1">
      <w:start w:val="1"/>
      <w:numFmt w:val="bullet"/>
      <w:lvlText w:val="o"/>
      <w:lvlJc w:val="left"/>
      <w:pPr>
        <w:ind w:left="5760" w:hanging="360"/>
      </w:pPr>
      <w:rPr>
        <w:rFonts w:ascii="Courier New" w:hAnsi="Courier New" w:cs="Courier New" w:hint="default"/>
      </w:rPr>
    </w:lvl>
    <w:lvl w:ilvl="8" w:tplc="109C7246" w:tentative="1">
      <w:start w:val="1"/>
      <w:numFmt w:val="bullet"/>
      <w:lvlText w:val=""/>
      <w:lvlJc w:val="left"/>
      <w:pPr>
        <w:ind w:left="6480" w:hanging="360"/>
      </w:pPr>
      <w:rPr>
        <w:rFonts w:ascii="Wingdings" w:hAnsi="Wingdings" w:hint="default"/>
      </w:rPr>
    </w:lvl>
  </w:abstractNum>
  <w:abstractNum w:abstractNumId="36" w15:restartNumberingAfterBreak="0">
    <w:nsid w:val="7A2D572F"/>
    <w:multiLevelType w:val="hybridMultilevel"/>
    <w:tmpl w:val="ACE20012"/>
    <w:lvl w:ilvl="0" w:tplc="92DC73B0">
      <w:start w:val="1"/>
      <w:numFmt w:val="bullet"/>
      <w:lvlText w:val=""/>
      <w:lvlJc w:val="left"/>
      <w:pPr>
        <w:ind w:left="360" w:hanging="360"/>
      </w:pPr>
      <w:rPr>
        <w:rFonts w:ascii="Symbol" w:hAnsi="Symbol" w:hint="default"/>
      </w:rPr>
    </w:lvl>
    <w:lvl w:ilvl="1" w:tplc="9C9A4CDE" w:tentative="1">
      <w:start w:val="1"/>
      <w:numFmt w:val="bullet"/>
      <w:lvlText w:val="o"/>
      <w:lvlJc w:val="left"/>
      <w:pPr>
        <w:ind w:left="1080" w:hanging="360"/>
      </w:pPr>
      <w:rPr>
        <w:rFonts w:ascii="Courier New" w:hAnsi="Courier New" w:cs="Courier New" w:hint="default"/>
      </w:rPr>
    </w:lvl>
    <w:lvl w:ilvl="2" w:tplc="3A2E7610" w:tentative="1">
      <w:start w:val="1"/>
      <w:numFmt w:val="bullet"/>
      <w:lvlText w:val=""/>
      <w:lvlJc w:val="left"/>
      <w:pPr>
        <w:ind w:left="1800" w:hanging="360"/>
      </w:pPr>
      <w:rPr>
        <w:rFonts w:ascii="Wingdings" w:hAnsi="Wingdings" w:hint="default"/>
      </w:rPr>
    </w:lvl>
    <w:lvl w:ilvl="3" w:tplc="B94C2564" w:tentative="1">
      <w:start w:val="1"/>
      <w:numFmt w:val="bullet"/>
      <w:lvlText w:val=""/>
      <w:lvlJc w:val="left"/>
      <w:pPr>
        <w:ind w:left="2520" w:hanging="360"/>
      </w:pPr>
      <w:rPr>
        <w:rFonts w:ascii="Symbol" w:hAnsi="Symbol" w:hint="default"/>
      </w:rPr>
    </w:lvl>
    <w:lvl w:ilvl="4" w:tplc="D6481876" w:tentative="1">
      <w:start w:val="1"/>
      <w:numFmt w:val="bullet"/>
      <w:lvlText w:val="o"/>
      <w:lvlJc w:val="left"/>
      <w:pPr>
        <w:ind w:left="3240" w:hanging="360"/>
      </w:pPr>
      <w:rPr>
        <w:rFonts w:ascii="Courier New" w:hAnsi="Courier New" w:cs="Courier New" w:hint="default"/>
      </w:rPr>
    </w:lvl>
    <w:lvl w:ilvl="5" w:tplc="DCA65F7E" w:tentative="1">
      <w:start w:val="1"/>
      <w:numFmt w:val="bullet"/>
      <w:lvlText w:val=""/>
      <w:lvlJc w:val="left"/>
      <w:pPr>
        <w:ind w:left="3960" w:hanging="360"/>
      </w:pPr>
      <w:rPr>
        <w:rFonts w:ascii="Wingdings" w:hAnsi="Wingdings" w:hint="default"/>
      </w:rPr>
    </w:lvl>
    <w:lvl w:ilvl="6" w:tplc="BBF05694" w:tentative="1">
      <w:start w:val="1"/>
      <w:numFmt w:val="bullet"/>
      <w:lvlText w:val=""/>
      <w:lvlJc w:val="left"/>
      <w:pPr>
        <w:ind w:left="4680" w:hanging="360"/>
      </w:pPr>
      <w:rPr>
        <w:rFonts w:ascii="Symbol" w:hAnsi="Symbol" w:hint="default"/>
      </w:rPr>
    </w:lvl>
    <w:lvl w:ilvl="7" w:tplc="F9446B50" w:tentative="1">
      <w:start w:val="1"/>
      <w:numFmt w:val="bullet"/>
      <w:lvlText w:val="o"/>
      <w:lvlJc w:val="left"/>
      <w:pPr>
        <w:ind w:left="5400" w:hanging="360"/>
      </w:pPr>
      <w:rPr>
        <w:rFonts w:ascii="Courier New" w:hAnsi="Courier New" w:cs="Courier New" w:hint="default"/>
      </w:rPr>
    </w:lvl>
    <w:lvl w:ilvl="8" w:tplc="45F09F58" w:tentative="1">
      <w:start w:val="1"/>
      <w:numFmt w:val="bullet"/>
      <w:lvlText w:val=""/>
      <w:lvlJc w:val="left"/>
      <w:pPr>
        <w:ind w:left="6120" w:hanging="360"/>
      </w:pPr>
      <w:rPr>
        <w:rFonts w:ascii="Wingdings" w:hAnsi="Wingdings" w:hint="default"/>
      </w:rPr>
    </w:lvl>
  </w:abstractNum>
  <w:abstractNum w:abstractNumId="37" w15:restartNumberingAfterBreak="0">
    <w:nsid w:val="7B0418A5"/>
    <w:multiLevelType w:val="multilevel"/>
    <w:tmpl w:val="570C0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2"/>
  </w:num>
  <w:num w:numId="5">
    <w:abstractNumId w:val="22"/>
  </w:num>
  <w:num w:numId="6">
    <w:abstractNumId w:val="9"/>
  </w:num>
  <w:num w:numId="7">
    <w:abstractNumId w:val="30"/>
  </w:num>
  <w:num w:numId="8">
    <w:abstractNumId w:val="33"/>
  </w:num>
  <w:num w:numId="9">
    <w:abstractNumId w:val="17"/>
  </w:num>
  <w:num w:numId="10">
    <w:abstractNumId w:val="21"/>
  </w:num>
  <w:num w:numId="11">
    <w:abstractNumId w:val="34"/>
  </w:num>
  <w:num w:numId="12">
    <w:abstractNumId w:val="35"/>
  </w:num>
  <w:num w:numId="13">
    <w:abstractNumId w:val="23"/>
  </w:num>
  <w:num w:numId="14">
    <w:abstractNumId w:val="15"/>
  </w:num>
  <w:num w:numId="15">
    <w:abstractNumId w:val="28"/>
  </w:num>
  <w:num w:numId="16">
    <w:abstractNumId w:val="5"/>
  </w:num>
  <w:num w:numId="17">
    <w:abstractNumId w:val="4"/>
  </w:num>
  <w:num w:numId="18">
    <w:abstractNumId w:val="25"/>
  </w:num>
  <w:num w:numId="19">
    <w:abstractNumId w:val="29"/>
  </w:num>
  <w:num w:numId="20">
    <w:abstractNumId w:val="10"/>
  </w:num>
  <w:num w:numId="21">
    <w:abstractNumId w:val="19"/>
  </w:num>
  <w:num w:numId="22">
    <w:abstractNumId w:val="31"/>
  </w:num>
  <w:num w:numId="23">
    <w:abstractNumId w:val="14"/>
  </w:num>
  <w:num w:numId="24">
    <w:abstractNumId w:val="8"/>
  </w:num>
  <w:num w:numId="25">
    <w:abstractNumId w:val="16"/>
  </w:num>
  <w:num w:numId="26">
    <w:abstractNumId w:val="12"/>
  </w:num>
  <w:num w:numId="27">
    <w:abstractNumId w:val="11"/>
  </w:num>
  <w:num w:numId="28">
    <w:abstractNumId w:val="6"/>
  </w:num>
  <w:num w:numId="29">
    <w:abstractNumId w:val="32"/>
  </w:num>
  <w:num w:numId="30">
    <w:abstractNumId w:val="36"/>
  </w:num>
  <w:num w:numId="31">
    <w:abstractNumId w:val="27"/>
  </w:num>
  <w:num w:numId="32">
    <w:abstractNumId w:val="13"/>
  </w:num>
  <w:num w:numId="33">
    <w:abstractNumId w:val="20"/>
  </w:num>
  <w:num w:numId="34">
    <w:abstractNumId w:val="26"/>
  </w:num>
  <w:num w:numId="35">
    <w:abstractNumId w:val="18"/>
  </w:num>
  <w:num w:numId="36">
    <w:abstractNumId w:val="2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AD4CBC"/>
    <w:rsid w:val="000008C6"/>
    <w:rsid w:val="000028E0"/>
    <w:rsid w:val="000046BB"/>
    <w:rsid w:val="00006109"/>
    <w:rsid w:val="0000675E"/>
    <w:rsid w:val="0001078F"/>
    <w:rsid w:val="00012B4C"/>
    <w:rsid w:val="000132AB"/>
    <w:rsid w:val="0001372C"/>
    <w:rsid w:val="00017229"/>
    <w:rsid w:val="0001787D"/>
    <w:rsid w:val="00017BE3"/>
    <w:rsid w:val="00020459"/>
    <w:rsid w:val="000211DF"/>
    <w:rsid w:val="0002310D"/>
    <w:rsid w:val="00024462"/>
    <w:rsid w:val="00030AEE"/>
    <w:rsid w:val="00031137"/>
    <w:rsid w:val="00032C88"/>
    <w:rsid w:val="000374FE"/>
    <w:rsid w:val="00041F42"/>
    <w:rsid w:val="00043EB5"/>
    <w:rsid w:val="0004400C"/>
    <w:rsid w:val="000442C5"/>
    <w:rsid w:val="000461DF"/>
    <w:rsid w:val="00050B68"/>
    <w:rsid w:val="000528E6"/>
    <w:rsid w:val="000532EB"/>
    <w:rsid w:val="00055D2B"/>
    <w:rsid w:val="00056636"/>
    <w:rsid w:val="00060DDF"/>
    <w:rsid w:val="00065231"/>
    <w:rsid w:val="00066B15"/>
    <w:rsid w:val="000753A6"/>
    <w:rsid w:val="00075851"/>
    <w:rsid w:val="00077F35"/>
    <w:rsid w:val="000815A6"/>
    <w:rsid w:val="000863DC"/>
    <w:rsid w:val="0009138E"/>
    <w:rsid w:val="00091E37"/>
    <w:rsid w:val="000954BE"/>
    <w:rsid w:val="000955BF"/>
    <w:rsid w:val="00095764"/>
    <w:rsid w:val="00095ED0"/>
    <w:rsid w:val="000966D0"/>
    <w:rsid w:val="000A0973"/>
    <w:rsid w:val="000A118D"/>
    <w:rsid w:val="000A28FE"/>
    <w:rsid w:val="000A2C8F"/>
    <w:rsid w:val="000A46CE"/>
    <w:rsid w:val="000A4922"/>
    <w:rsid w:val="000A4E9B"/>
    <w:rsid w:val="000A5E57"/>
    <w:rsid w:val="000B03A6"/>
    <w:rsid w:val="000B0D69"/>
    <w:rsid w:val="000B1CCC"/>
    <w:rsid w:val="000B21C8"/>
    <w:rsid w:val="000B258A"/>
    <w:rsid w:val="000B4024"/>
    <w:rsid w:val="000B46CD"/>
    <w:rsid w:val="000B4BB6"/>
    <w:rsid w:val="000B78A3"/>
    <w:rsid w:val="000C03B2"/>
    <w:rsid w:val="000C05BA"/>
    <w:rsid w:val="000C5A69"/>
    <w:rsid w:val="000C66B1"/>
    <w:rsid w:val="000C6BCD"/>
    <w:rsid w:val="000C7549"/>
    <w:rsid w:val="000D07E1"/>
    <w:rsid w:val="000D28B3"/>
    <w:rsid w:val="000D3A31"/>
    <w:rsid w:val="000D55B4"/>
    <w:rsid w:val="000D7BC8"/>
    <w:rsid w:val="000E008F"/>
    <w:rsid w:val="000E0A35"/>
    <w:rsid w:val="000E3172"/>
    <w:rsid w:val="000E728B"/>
    <w:rsid w:val="000E7DD1"/>
    <w:rsid w:val="000F0352"/>
    <w:rsid w:val="000F114C"/>
    <w:rsid w:val="000F29E0"/>
    <w:rsid w:val="000F2B32"/>
    <w:rsid w:val="000F2BDA"/>
    <w:rsid w:val="000F2CDE"/>
    <w:rsid w:val="000F40A2"/>
    <w:rsid w:val="000F440A"/>
    <w:rsid w:val="000F68B0"/>
    <w:rsid w:val="000F6B3F"/>
    <w:rsid w:val="001002A7"/>
    <w:rsid w:val="0010030B"/>
    <w:rsid w:val="00101309"/>
    <w:rsid w:val="00103935"/>
    <w:rsid w:val="00103C13"/>
    <w:rsid w:val="00106C0A"/>
    <w:rsid w:val="001114E5"/>
    <w:rsid w:val="001119F2"/>
    <w:rsid w:val="00111A75"/>
    <w:rsid w:val="00111FDB"/>
    <w:rsid w:val="001123A2"/>
    <w:rsid w:val="001134DB"/>
    <w:rsid w:val="00116C7F"/>
    <w:rsid w:val="00117C25"/>
    <w:rsid w:val="00117C29"/>
    <w:rsid w:val="0012053A"/>
    <w:rsid w:val="001214B4"/>
    <w:rsid w:val="00121F75"/>
    <w:rsid w:val="00122601"/>
    <w:rsid w:val="001245EF"/>
    <w:rsid w:val="00124CD6"/>
    <w:rsid w:val="00127F49"/>
    <w:rsid w:val="00130012"/>
    <w:rsid w:val="00131214"/>
    <w:rsid w:val="00131408"/>
    <w:rsid w:val="0013145B"/>
    <w:rsid w:val="0013162E"/>
    <w:rsid w:val="001330AA"/>
    <w:rsid w:val="001335B8"/>
    <w:rsid w:val="00136A41"/>
    <w:rsid w:val="00136B03"/>
    <w:rsid w:val="001379DB"/>
    <w:rsid w:val="00142E5C"/>
    <w:rsid w:val="00144208"/>
    <w:rsid w:val="001443BB"/>
    <w:rsid w:val="00144771"/>
    <w:rsid w:val="00144F64"/>
    <w:rsid w:val="00147984"/>
    <w:rsid w:val="00150F6F"/>
    <w:rsid w:val="00151C7A"/>
    <w:rsid w:val="00154DE3"/>
    <w:rsid w:val="00157B71"/>
    <w:rsid w:val="00161C0F"/>
    <w:rsid w:val="00162AA1"/>
    <w:rsid w:val="00162B13"/>
    <w:rsid w:val="00162F8B"/>
    <w:rsid w:val="0016440C"/>
    <w:rsid w:val="00165F2E"/>
    <w:rsid w:val="00171566"/>
    <w:rsid w:val="001715B2"/>
    <w:rsid w:val="00171FAD"/>
    <w:rsid w:val="00172652"/>
    <w:rsid w:val="0017699A"/>
    <w:rsid w:val="00176F78"/>
    <w:rsid w:val="001773FB"/>
    <w:rsid w:val="001774E3"/>
    <w:rsid w:val="00180279"/>
    <w:rsid w:val="001805AF"/>
    <w:rsid w:val="00181868"/>
    <w:rsid w:val="00182AAF"/>
    <w:rsid w:val="00183DCA"/>
    <w:rsid w:val="00184077"/>
    <w:rsid w:val="001856FF"/>
    <w:rsid w:val="001879A3"/>
    <w:rsid w:val="00187F52"/>
    <w:rsid w:val="001902D2"/>
    <w:rsid w:val="00192FDB"/>
    <w:rsid w:val="0019322A"/>
    <w:rsid w:val="001934D0"/>
    <w:rsid w:val="00193B6B"/>
    <w:rsid w:val="00194B01"/>
    <w:rsid w:val="0019546C"/>
    <w:rsid w:val="0019621D"/>
    <w:rsid w:val="001A032B"/>
    <w:rsid w:val="001A2641"/>
    <w:rsid w:val="001A2950"/>
    <w:rsid w:val="001A4E48"/>
    <w:rsid w:val="001A5930"/>
    <w:rsid w:val="001A5B81"/>
    <w:rsid w:val="001B251B"/>
    <w:rsid w:val="001B26A0"/>
    <w:rsid w:val="001B2757"/>
    <w:rsid w:val="001B4A69"/>
    <w:rsid w:val="001B5E23"/>
    <w:rsid w:val="001C0DC2"/>
    <w:rsid w:val="001C2A30"/>
    <w:rsid w:val="001C3228"/>
    <w:rsid w:val="001C48EA"/>
    <w:rsid w:val="001C4B45"/>
    <w:rsid w:val="001C4B91"/>
    <w:rsid w:val="001C679A"/>
    <w:rsid w:val="001C74D6"/>
    <w:rsid w:val="001C7CDD"/>
    <w:rsid w:val="001D106D"/>
    <w:rsid w:val="001D1AE2"/>
    <w:rsid w:val="001D5028"/>
    <w:rsid w:val="001D5CA1"/>
    <w:rsid w:val="001E1E7D"/>
    <w:rsid w:val="001E2359"/>
    <w:rsid w:val="001E55D4"/>
    <w:rsid w:val="001E568B"/>
    <w:rsid w:val="001E5A32"/>
    <w:rsid w:val="001E5F80"/>
    <w:rsid w:val="001E6E54"/>
    <w:rsid w:val="001E75B7"/>
    <w:rsid w:val="001F28C1"/>
    <w:rsid w:val="001F4DA7"/>
    <w:rsid w:val="001F588F"/>
    <w:rsid w:val="001F65CB"/>
    <w:rsid w:val="001F6622"/>
    <w:rsid w:val="001F6751"/>
    <w:rsid w:val="001F6B0F"/>
    <w:rsid w:val="001F7466"/>
    <w:rsid w:val="002015AB"/>
    <w:rsid w:val="00205144"/>
    <w:rsid w:val="00205CC0"/>
    <w:rsid w:val="00206017"/>
    <w:rsid w:val="00206AA0"/>
    <w:rsid w:val="00206BDC"/>
    <w:rsid w:val="00207721"/>
    <w:rsid w:val="00207FEE"/>
    <w:rsid w:val="00210DD8"/>
    <w:rsid w:val="00212019"/>
    <w:rsid w:val="002126B9"/>
    <w:rsid w:val="002132C3"/>
    <w:rsid w:val="00214643"/>
    <w:rsid w:val="00215300"/>
    <w:rsid w:val="0021571D"/>
    <w:rsid w:val="0021580F"/>
    <w:rsid w:val="00216271"/>
    <w:rsid w:val="0021646E"/>
    <w:rsid w:val="00216757"/>
    <w:rsid w:val="00217B7E"/>
    <w:rsid w:val="002205ED"/>
    <w:rsid w:val="00221B07"/>
    <w:rsid w:val="00222EE1"/>
    <w:rsid w:val="00223DB3"/>
    <w:rsid w:val="0022453D"/>
    <w:rsid w:val="00224701"/>
    <w:rsid w:val="00224B11"/>
    <w:rsid w:val="00225147"/>
    <w:rsid w:val="00225E87"/>
    <w:rsid w:val="002268C8"/>
    <w:rsid w:val="00226FC5"/>
    <w:rsid w:val="00227EF4"/>
    <w:rsid w:val="002315DD"/>
    <w:rsid w:val="00232509"/>
    <w:rsid w:val="0023409C"/>
    <w:rsid w:val="00234505"/>
    <w:rsid w:val="00235E86"/>
    <w:rsid w:val="00236984"/>
    <w:rsid w:val="002373D4"/>
    <w:rsid w:val="00242D3D"/>
    <w:rsid w:val="00242FA8"/>
    <w:rsid w:val="00244AAC"/>
    <w:rsid w:val="00245E6A"/>
    <w:rsid w:val="00252E8D"/>
    <w:rsid w:val="00254D71"/>
    <w:rsid w:val="00260B8C"/>
    <w:rsid w:val="00261E60"/>
    <w:rsid w:val="002621E2"/>
    <w:rsid w:val="002642A0"/>
    <w:rsid w:val="00264C03"/>
    <w:rsid w:val="00266059"/>
    <w:rsid w:val="0026647B"/>
    <w:rsid w:val="00266940"/>
    <w:rsid w:val="00267C9F"/>
    <w:rsid w:val="00271D58"/>
    <w:rsid w:val="002726BC"/>
    <w:rsid w:val="0027295D"/>
    <w:rsid w:val="002732E2"/>
    <w:rsid w:val="00273929"/>
    <w:rsid w:val="00280E8A"/>
    <w:rsid w:val="002830C0"/>
    <w:rsid w:val="00286B52"/>
    <w:rsid w:val="00287D03"/>
    <w:rsid w:val="00290E89"/>
    <w:rsid w:val="00291251"/>
    <w:rsid w:val="0029175B"/>
    <w:rsid w:val="00292217"/>
    <w:rsid w:val="00294DAF"/>
    <w:rsid w:val="002975C3"/>
    <w:rsid w:val="002A12B5"/>
    <w:rsid w:val="002A2D3A"/>
    <w:rsid w:val="002A354A"/>
    <w:rsid w:val="002A3CEF"/>
    <w:rsid w:val="002A414D"/>
    <w:rsid w:val="002A507C"/>
    <w:rsid w:val="002A59D9"/>
    <w:rsid w:val="002A6CEE"/>
    <w:rsid w:val="002A787E"/>
    <w:rsid w:val="002B0513"/>
    <w:rsid w:val="002B1BE9"/>
    <w:rsid w:val="002B2B06"/>
    <w:rsid w:val="002B4013"/>
    <w:rsid w:val="002B462F"/>
    <w:rsid w:val="002B633E"/>
    <w:rsid w:val="002B6DD5"/>
    <w:rsid w:val="002B7026"/>
    <w:rsid w:val="002C0A79"/>
    <w:rsid w:val="002C0FEB"/>
    <w:rsid w:val="002C10A0"/>
    <w:rsid w:val="002C116A"/>
    <w:rsid w:val="002C2A1D"/>
    <w:rsid w:val="002C4A58"/>
    <w:rsid w:val="002D39F5"/>
    <w:rsid w:val="002D4267"/>
    <w:rsid w:val="002D6CCD"/>
    <w:rsid w:val="002D7502"/>
    <w:rsid w:val="002E0657"/>
    <w:rsid w:val="002E0AE6"/>
    <w:rsid w:val="002E3234"/>
    <w:rsid w:val="002E52C7"/>
    <w:rsid w:val="002E7818"/>
    <w:rsid w:val="002E7ADC"/>
    <w:rsid w:val="002F0224"/>
    <w:rsid w:val="002F0628"/>
    <w:rsid w:val="00300778"/>
    <w:rsid w:val="00300AF6"/>
    <w:rsid w:val="0030275A"/>
    <w:rsid w:val="00302A0D"/>
    <w:rsid w:val="003039A5"/>
    <w:rsid w:val="00303B02"/>
    <w:rsid w:val="00303B7C"/>
    <w:rsid w:val="00304BC1"/>
    <w:rsid w:val="00310E17"/>
    <w:rsid w:val="003112DE"/>
    <w:rsid w:val="00312FF6"/>
    <w:rsid w:val="00313C91"/>
    <w:rsid w:val="00315120"/>
    <w:rsid w:val="00316174"/>
    <w:rsid w:val="003161F7"/>
    <w:rsid w:val="00317857"/>
    <w:rsid w:val="003226C6"/>
    <w:rsid w:val="003237FF"/>
    <w:rsid w:val="00326266"/>
    <w:rsid w:val="00326C13"/>
    <w:rsid w:val="0032710D"/>
    <w:rsid w:val="0032715E"/>
    <w:rsid w:val="00327FF3"/>
    <w:rsid w:val="00330A4C"/>
    <w:rsid w:val="003324E6"/>
    <w:rsid w:val="00335BA9"/>
    <w:rsid w:val="00342112"/>
    <w:rsid w:val="0034267A"/>
    <w:rsid w:val="0034271F"/>
    <w:rsid w:val="00343194"/>
    <w:rsid w:val="00343D9E"/>
    <w:rsid w:val="00343E7E"/>
    <w:rsid w:val="00343F28"/>
    <w:rsid w:val="003450FC"/>
    <w:rsid w:val="003503CE"/>
    <w:rsid w:val="003520D7"/>
    <w:rsid w:val="00353A57"/>
    <w:rsid w:val="00353B34"/>
    <w:rsid w:val="00353E37"/>
    <w:rsid w:val="00354669"/>
    <w:rsid w:val="00356183"/>
    <w:rsid w:val="0035621F"/>
    <w:rsid w:val="003571EF"/>
    <w:rsid w:val="00357369"/>
    <w:rsid w:val="003575D9"/>
    <w:rsid w:val="00357BBC"/>
    <w:rsid w:val="0036250B"/>
    <w:rsid w:val="003630DA"/>
    <w:rsid w:val="00363908"/>
    <w:rsid w:val="00367443"/>
    <w:rsid w:val="00370998"/>
    <w:rsid w:val="0037136E"/>
    <w:rsid w:val="00372B3A"/>
    <w:rsid w:val="00373FAB"/>
    <w:rsid w:val="0037401D"/>
    <w:rsid w:val="00375B33"/>
    <w:rsid w:val="00377B19"/>
    <w:rsid w:val="00380481"/>
    <w:rsid w:val="003818A8"/>
    <w:rsid w:val="00381D30"/>
    <w:rsid w:val="00381EA4"/>
    <w:rsid w:val="00383963"/>
    <w:rsid w:val="00383A5E"/>
    <w:rsid w:val="00383C37"/>
    <w:rsid w:val="003847CD"/>
    <w:rsid w:val="00384FFA"/>
    <w:rsid w:val="00385F4D"/>
    <w:rsid w:val="00390AC0"/>
    <w:rsid w:val="003911CB"/>
    <w:rsid w:val="00391DE9"/>
    <w:rsid w:val="003927FC"/>
    <w:rsid w:val="0039508C"/>
    <w:rsid w:val="00395133"/>
    <w:rsid w:val="003952C7"/>
    <w:rsid w:val="003960DB"/>
    <w:rsid w:val="00397FFE"/>
    <w:rsid w:val="003A001A"/>
    <w:rsid w:val="003A07BE"/>
    <w:rsid w:val="003A0F49"/>
    <w:rsid w:val="003A108D"/>
    <w:rsid w:val="003A7019"/>
    <w:rsid w:val="003B1A53"/>
    <w:rsid w:val="003B1B84"/>
    <w:rsid w:val="003B35F3"/>
    <w:rsid w:val="003B374C"/>
    <w:rsid w:val="003B3AD2"/>
    <w:rsid w:val="003B5D09"/>
    <w:rsid w:val="003B72D8"/>
    <w:rsid w:val="003B76DB"/>
    <w:rsid w:val="003C1138"/>
    <w:rsid w:val="003C20EA"/>
    <w:rsid w:val="003C23B1"/>
    <w:rsid w:val="003C4DE3"/>
    <w:rsid w:val="003C768D"/>
    <w:rsid w:val="003D03B0"/>
    <w:rsid w:val="003D03D3"/>
    <w:rsid w:val="003D0A7A"/>
    <w:rsid w:val="003D2280"/>
    <w:rsid w:val="003D5D68"/>
    <w:rsid w:val="003D71CE"/>
    <w:rsid w:val="003D7B75"/>
    <w:rsid w:val="003E15F9"/>
    <w:rsid w:val="003E2CC0"/>
    <w:rsid w:val="003E2FDC"/>
    <w:rsid w:val="003E358A"/>
    <w:rsid w:val="003E3771"/>
    <w:rsid w:val="003E4987"/>
    <w:rsid w:val="003E6A00"/>
    <w:rsid w:val="003E776E"/>
    <w:rsid w:val="003E7BD8"/>
    <w:rsid w:val="003E7DAF"/>
    <w:rsid w:val="003E7F35"/>
    <w:rsid w:val="003F03B3"/>
    <w:rsid w:val="003F18A7"/>
    <w:rsid w:val="003F32CB"/>
    <w:rsid w:val="003F346B"/>
    <w:rsid w:val="003F3939"/>
    <w:rsid w:val="003F3A0D"/>
    <w:rsid w:val="003F42CF"/>
    <w:rsid w:val="004005BE"/>
    <w:rsid w:val="00401DA6"/>
    <w:rsid w:val="00402E1A"/>
    <w:rsid w:val="00403319"/>
    <w:rsid w:val="00404267"/>
    <w:rsid w:val="004054DC"/>
    <w:rsid w:val="004070D2"/>
    <w:rsid w:val="00407321"/>
    <w:rsid w:val="00411032"/>
    <w:rsid w:val="004117C7"/>
    <w:rsid w:val="00412405"/>
    <w:rsid w:val="004209A0"/>
    <w:rsid w:val="00420F98"/>
    <w:rsid w:val="00422B2E"/>
    <w:rsid w:val="004233CC"/>
    <w:rsid w:val="004238DD"/>
    <w:rsid w:val="00423D5F"/>
    <w:rsid w:val="0042468B"/>
    <w:rsid w:val="004261EA"/>
    <w:rsid w:val="004269F6"/>
    <w:rsid w:val="004275C0"/>
    <w:rsid w:val="0043075E"/>
    <w:rsid w:val="0043187C"/>
    <w:rsid w:val="00434511"/>
    <w:rsid w:val="00434B3F"/>
    <w:rsid w:val="004352E0"/>
    <w:rsid w:val="00437483"/>
    <w:rsid w:val="004404EE"/>
    <w:rsid w:val="00440E0F"/>
    <w:rsid w:val="00442629"/>
    <w:rsid w:val="00443235"/>
    <w:rsid w:val="00444979"/>
    <w:rsid w:val="004468FB"/>
    <w:rsid w:val="00446CD0"/>
    <w:rsid w:val="00447C2B"/>
    <w:rsid w:val="00450F17"/>
    <w:rsid w:val="00452111"/>
    <w:rsid w:val="00456E75"/>
    <w:rsid w:val="00464298"/>
    <w:rsid w:val="0046490C"/>
    <w:rsid w:val="00467E9A"/>
    <w:rsid w:val="00473EC2"/>
    <w:rsid w:val="00476D7C"/>
    <w:rsid w:val="00476E1E"/>
    <w:rsid w:val="00484025"/>
    <w:rsid w:val="00485956"/>
    <w:rsid w:val="00490AC8"/>
    <w:rsid w:val="004923DD"/>
    <w:rsid w:val="004938AB"/>
    <w:rsid w:val="0049789F"/>
    <w:rsid w:val="004A08F3"/>
    <w:rsid w:val="004A5234"/>
    <w:rsid w:val="004A57B7"/>
    <w:rsid w:val="004A612C"/>
    <w:rsid w:val="004A7B5C"/>
    <w:rsid w:val="004B1779"/>
    <w:rsid w:val="004B2408"/>
    <w:rsid w:val="004B33A3"/>
    <w:rsid w:val="004B61FD"/>
    <w:rsid w:val="004B77F6"/>
    <w:rsid w:val="004B79F9"/>
    <w:rsid w:val="004C195A"/>
    <w:rsid w:val="004C3C64"/>
    <w:rsid w:val="004C619E"/>
    <w:rsid w:val="004C61EE"/>
    <w:rsid w:val="004C6489"/>
    <w:rsid w:val="004C685B"/>
    <w:rsid w:val="004C7071"/>
    <w:rsid w:val="004C79AA"/>
    <w:rsid w:val="004C7BF5"/>
    <w:rsid w:val="004D19D0"/>
    <w:rsid w:val="004D2B79"/>
    <w:rsid w:val="004D436B"/>
    <w:rsid w:val="004D4BFA"/>
    <w:rsid w:val="004D51CC"/>
    <w:rsid w:val="004D5CF1"/>
    <w:rsid w:val="004E0AE8"/>
    <w:rsid w:val="004E1076"/>
    <w:rsid w:val="004E446F"/>
    <w:rsid w:val="004E57A3"/>
    <w:rsid w:val="004E6B6F"/>
    <w:rsid w:val="004E6C7C"/>
    <w:rsid w:val="004F1E6E"/>
    <w:rsid w:val="004F50AF"/>
    <w:rsid w:val="004F529F"/>
    <w:rsid w:val="005006F8"/>
    <w:rsid w:val="00500E34"/>
    <w:rsid w:val="00501212"/>
    <w:rsid w:val="005015A0"/>
    <w:rsid w:val="00503E34"/>
    <w:rsid w:val="005040B1"/>
    <w:rsid w:val="00505024"/>
    <w:rsid w:val="00505D67"/>
    <w:rsid w:val="005060D5"/>
    <w:rsid w:val="00507CD9"/>
    <w:rsid w:val="00510391"/>
    <w:rsid w:val="00517054"/>
    <w:rsid w:val="00517C89"/>
    <w:rsid w:val="00517D58"/>
    <w:rsid w:val="00520E0C"/>
    <w:rsid w:val="00522C32"/>
    <w:rsid w:val="005234A7"/>
    <w:rsid w:val="00523D4B"/>
    <w:rsid w:val="005251F6"/>
    <w:rsid w:val="00525DA0"/>
    <w:rsid w:val="00526E44"/>
    <w:rsid w:val="0053018F"/>
    <w:rsid w:val="00530FFE"/>
    <w:rsid w:val="0053115C"/>
    <w:rsid w:val="005312EB"/>
    <w:rsid w:val="005322D3"/>
    <w:rsid w:val="00532D6F"/>
    <w:rsid w:val="00542E9E"/>
    <w:rsid w:val="00543B54"/>
    <w:rsid w:val="0054428A"/>
    <w:rsid w:val="005446BC"/>
    <w:rsid w:val="005469A2"/>
    <w:rsid w:val="005475A9"/>
    <w:rsid w:val="00547B66"/>
    <w:rsid w:val="00550C83"/>
    <w:rsid w:val="005512B4"/>
    <w:rsid w:val="00551E63"/>
    <w:rsid w:val="005527C4"/>
    <w:rsid w:val="00552CAA"/>
    <w:rsid w:val="00553483"/>
    <w:rsid w:val="005538E7"/>
    <w:rsid w:val="00555E25"/>
    <w:rsid w:val="005573AE"/>
    <w:rsid w:val="005577A5"/>
    <w:rsid w:val="00557CC9"/>
    <w:rsid w:val="00560A58"/>
    <w:rsid w:val="00560D07"/>
    <w:rsid w:val="00562CC6"/>
    <w:rsid w:val="0056350F"/>
    <w:rsid w:val="00563782"/>
    <w:rsid w:val="00564B9D"/>
    <w:rsid w:val="00566F7B"/>
    <w:rsid w:val="005675C1"/>
    <w:rsid w:val="00567B46"/>
    <w:rsid w:val="00570158"/>
    <w:rsid w:val="00571FC6"/>
    <w:rsid w:val="00572CA9"/>
    <w:rsid w:val="00572DCA"/>
    <w:rsid w:val="00573940"/>
    <w:rsid w:val="00574B88"/>
    <w:rsid w:val="00574E06"/>
    <w:rsid w:val="00576A5D"/>
    <w:rsid w:val="005814F8"/>
    <w:rsid w:val="00581A20"/>
    <w:rsid w:val="0058265A"/>
    <w:rsid w:val="005837A4"/>
    <w:rsid w:val="00584092"/>
    <w:rsid w:val="00584CD8"/>
    <w:rsid w:val="00585874"/>
    <w:rsid w:val="00585A04"/>
    <w:rsid w:val="0058665B"/>
    <w:rsid w:val="00586C1B"/>
    <w:rsid w:val="00587C8E"/>
    <w:rsid w:val="00592C92"/>
    <w:rsid w:val="00594271"/>
    <w:rsid w:val="00596019"/>
    <w:rsid w:val="005960A1"/>
    <w:rsid w:val="005967DE"/>
    <w:rsid w:val="0059749F"/>
    <w:rsid w:val="005A2E3C"/>
    <w:rsid w:val="005A35BD"/>
    <w:rsid w:val="005A45A0"/>
    <w:rsid w:val="005A4A8F"/>
    <w:rsid w:val="005A5A1D"/>
    <w:rsid w:val="005A6DCD"/>
    <w:rsid w:val="005A717F"/>
    <w:rsid w:val="005B0205"/>
    <w:rsid w:val="005B236A"/>
    <w:rsid w:val="005B5D0F"/>
    <w:rsid w:val="005B6350"/>
    <w:rsid w:val="005B6B08"/>
    <w:rsid w:val="005B6F8B"/>
    <w:rsid w:val="005B710E"/>
    <w:rsid w:val="005B7E27"/>
    <w:rsid w:val="005C04E6"/>
    <w:rsid w:val="005C070F"/>
    <w:rsid w:val="005C454D"/>
    <w:rsid w:val="005C5014"/>
    <w:rsid w:val="005C5121"/>
    <w:rsid w:val="005D0067"/>
    <w:rsid w:val="005D008A"/>
    <w:rsid w:val="005D0FD0"/>
    <w:rsid w:val="005D2A6F"/>
    <w:rsid w:val="005D542A"/>
    <w:rsid w:val="005D6E63"/>
    <w:rsid w:val="005D7605"/>
    <w:rsid w:val="005E21A8"/>
    <w:rsid w:val="005E2E45"/>
    <w:rsid w:val="005E3A32"/>
    <w:rsid w:val="005E43C4"/>
    <w:rsid w:val="005E4765"/>
    <w:rsid w:val="005E4BD1"/>
    <w:rsid w:val="005E569D"/>
    <w:rsid w:val="005E6F70"/>
    <w:rsid w:val="005E7A2E"/>
    <w:rsid w:val="005E7AB6"/>
    <w:rsid w:val="005F01E6"/>
    <w:rsid w:val="005F06FE"/>
    <w:rsid w:val="005F15AF"/>
    <w:rsid w:val="005F3212"/>
    <w:rsid w:val="005F4209"/>
    <w:rsid w:val="005F50D8"/>
    <w:rsid w:val="005F5253"/>
    <w:rsid w:val="005F5525"/>
    <w:rsid w:val="005F65B5"/>
    <w:rsid w:val="0060034D"/>
    <w:rsid w:val="0060246B"/>
    <w:rsid w:val="0060354F"/>
    <w:rsid w:val="00603B20"/>
    <w:rsid w:val="00605926"/>
    <w:rsid w:val="00606B64"/>
    <w:rsid w:val="006071F3"/>
    <w:rsid w:val="00607BDB"/>
    <w:rsid w:val="0061011F"/>
    <w:rsid w:val="006120EE"/>
    <w:rsid w:val="00612B58"/>
    <w:rsid w:val="00613C2B"/>
    <w:rsid w:val="00615E9C"/>
    <w:rsid w:val="006172DA"/>
    <w:rsid w:val="00617ADC"/>
    <w:rsid w:val="00620A24"/>
    <w:rsid w:val="00621319"/>
    <w:rsid w:val="00622B8D"/>
    <w:rsid w:val="006230C4"/>
    <w:rsid w:val="006242DE"/>
    <w:rsid w:val="00630E43"/>
    <w:rsid w:val="0063181B"/>
    <w:rsid w:val="006327F7"/>
    <w:rsid w:val="00634379"/>
    <w:rsid w:val="006347B8"/>
    <w:rsid w:val="0063590E"/>
    <w:rsid w:val="006401FF"/>
    <w:rsid w:val="00640899"/>
    <w:rsid w:val="00640CF2"/>
    <w:rsid w:val="00641571"/>
    <w:rsid w:val="00642E80"/>
    <w:rsid w:val="00644C1E"/>
    <w:rsid w:val="006452B1"/>
    <w:rsid w:val="006524D9"/>
    <w:rsid w:val="00652F6E"/>
    <w:rsid w:val="00654932"/>
    <w:rsid w:val="00655058"/>
    <w:rsid w:val="006559A2"/>
    <w:rsid w:val="00656006"/>
    <w:rsid w:val="00656E4F"/>
    <w:rsid w:val="00657C16"/>
    <w:rsid w:val="006619D6"/>
    <w:rsid w:val="00662940"/>
    <w:rsid w:val="0066305C"/>
    <w:rsid w:val="006637F3"/>
    <w:rsid w:val="00664EB7"/>
    <w:rsid w:val="00666611"/>
    <w:rsid w:val="00666AB7"/>
    <w:rsid w:val="00667B1E"/>
    <w:rsid w:val="00670C29"/>
    <w:rsid w:val="00671289"/>
    <w:rsid w:val="006737A6"/>
    <w:rsid w:val="00673C9A"/>
    <w:rsid w:val="00674E02"/>
    <w:rsid w:val="00675956"/>
    <w:rsid w:val="00676B44"/>
    <w:rsid w:val="00676DEB"/>
    <w:rsid w:val="00676EA4"/>
    <w:rsid w:val="00677217"/>
    <w:rsid w:val="00681D4D"/>
    <w:rsid w:val="00682E90"/>
    <w:rsid w:val="006845EF"/>
    <w:rsid w:val="00686DE9"/>
    <w:rsid w:val="006879C7"/>
    <w:rsid w:val="00690273"/>
    <w:rsid w:val="00690A4B"/>
    <w:rsid w:val="006929A7"/>
    <w:rsid w:val="006929E2"/>
    <w:rsid w:val="006932C3"/>
    <w:rsid w:val="00695135"/>
    <w:rsid w:val="00695F58"/>
    <w:rsid w:val="00696320"/>
    <w:rsid w:val="00696743"/>
    <w:rsid w:val="00696DCE"/>
    <w:rsid w:val="0069756B"/>
    <w:rsid w:val="00697E6D"/>
    <w:rsid w:val="006A00BA"/>
    <w:rsid w:val="006A02BE"/>
    <w:rsid w:val="006A2E2C"/>
    <w:rsid w:val="006A361A"/>
    <w:rsid w:val="006A3F3E"/>
    <w:rsid w:val="006A4244"/>
    <w:rsid w:val="006A4658"/>
    <w:rsid w:val="006A4D64"/>
    <w:rsid w:val="006A7A3E"/>
    <w:rsid w:val="006B3518"/>
    <w:rsid w:val="006B3F34"/>
    <w:rsid w:val="006B4259"/>
    <w:rsid w:val="006B4299"/>
    <w:rsid w:val="006B4A75"/>
    <w:rsid w:val="006B65E2"/>
    <w:rsid w:val="006B676B"/>
    <w:rsid w:val="006B7CB4"/>
    <w:rsid w:val="006B7EEA"/>
    <w:rsid w:val="006C0488"/>
    <w:rsid w:val="006C4746"/>
    <w:rsid w:val="006C5751"/>
    <w:rsid w:val="006C6ED0"/>
    <w:rsid w:val="006D103F"/>
    <w:rsid w:val="006D2457"/>
    <w:rsid w:val="006D27C1"/>
    <w:rsid w:val="006D4BDC"/>
    <w:rsid w:val="006D6147"/>
    <w:rsid w:val="006D6828"/>
    <w:rsid w:val="006D6842"/>
    <w:rsid w:val="006D7F60"/>
    <w:rsid w:val="006E0362"/>
    <w:rsid w:val="006E11BD"/>
    <w:rsid w:val="006E457C"/>
    <w:rsid w:val="006E5A26"/>
    <w:rsid w:val="006E7959"/>
    <w:rsid w:val="006E7C85"/>
    <w:rsid w:val="006F09EA"/>
    <w:rsid w:val="006F0ED0"/>
    <w:rsid w:val="006F6F35"/>
    <w:rsid w:val="006F731A"/>
    <w:rsid w:val="00700C93"/>
    <w:rsid w:val="007034A8"/>
    <w:rsid w:val="007036D4"/>
    <w:rsid w:val="00704608"/>
    <w:rsid w:val="00704B4A"/>
    <w:rsid w:val="00706F37"/>
    <w:rsid w:val="00707193"/>
    <w:rsid w:val="00707ED0"/>
    <w:rsid w:val="0071138A"/>
    <w:rsid w:val="0071261E"/>
    <w:rsid w:val="00715078"/>
    <w:rsid w:val="00715306"/>
    <w:rsid w:val="007154F8"/>
    <w:rsid w:val="00715D5C"/>
    <w:rsid w:val="00720F77"/>
    <w:rsid w:val="00724550"/>
    <w:rsid w:val="00727FB2"/>
    <w:rsid w:val="00730B0C"/>
    <w:rsid w:val="00730BCE"/>
    <w:rsid w:val="00731551"/>
    <w:rsid w:val="00732F25"/>
    <w:rsid w:val="007338C8"/>
    <w:rsid w:val="007340BA"/>
    <w:rsid w:val="00735758"/>
    <w:rsid w:val="007413B2"/>
    <w:rsid w:val="007465D5"/>
    <w:rsid w:val="007466D4"/>
    <w:rsid w:val="00747680"/>
    <w:rsid w:val="00747A9B"/>
    <w:rsid w:val="0075069B"/>
    <w:rsid w:val="007508EA"/>
    <w:rsid w:val="007520C8"/>
    <w:rsid w:val="00756689"/>
    <w:rsid w:val="00762111"/>
    <w:rsid w:val="00763B09"/>
    <w:rsid w:val="00771756"/>
    <w:rsid w:val="0077269A"/>
    <w:rsid w:val="00773CD6"/>
    <w:rsid w:val="0077411F"/>
    <w:rsid w:val="00774CBE"/>
    <w:rsid w:val="00775059"/>
    <w:rsid w:val="00775C7A"/>
    <w:rsid w:val="00776D99"/>
    <w:rsid w:val="0078105B"/>
    <w:rsid w:val="00783292"/>
    <w:rsid w:val="00784282"/>
    <w:rsid w:val="007851F4"/>
    <w:rsid w:val="007859AF"/>
    <w:rsid w:val="00786544"/>
    <w:rsid w:val="00786880"/>
    <w:rsid w:val="00787B94"/>
    <w:rsid w:val="00787EA0"/>
    <w:rsid w:val="0079225C"/>
    <w:rsid w:val="00796BF6"/>
    <w:rsid w:val="007A095E"/>
    <w:rsid w:val="007A2DA4"/>
    <w:rsid w:val="007A34E8"/>
    <w:rsid w:val="007A4602"/>
    <w:rsid w:val="007A4E07"/>
    <w:rsid w:val="007A52F9"/>
    <w:rsid w:val="007A67E8"/>
    <w:rsid w:val="007A6B96"/>
    <w:rsid w:val="007A714C"/>
    <w:rsid w:val="007A71FE"/>
    <w:rsid w:val="007A7443"/>
    <w:rsid w:val="007A7ED6"/>
    <w:rsid w:val="007B11ED"/>
    <w:rsid w:val="007B31C7"/>
    <w:rsid w:val="007B4F9B"/>
    <w:rsid w:val="007B5C71"/>
    <w:rsid w:val="007B6BDD"/>
    <w:rsid w:val="007B7240"/>
    <w:rsid w:val="007B74DA"/>
    <w:rsid w:val="007C0735"/>
    <w:rsid w:val="007C2011"/>
    <w:rsid w:val="007C22F1"/>
    <w:rsid w:val="007C2D3E"/>
    <w:rsid w:val="007C478F"/>
    <w:rsid w:val="007C4D4C"/>
    <w:rsid w:val="007C63C6"/>
    <w:rsid w:val="007C7A16"/>
    <w:rsid w:val="007D187A"/>
    <w:rsid w:val="007D19F9"/>
    <w:rsid w:val="007D2319"/>
    <w:rsid w:val="007D306E"/>
    <w:rsid w:val="007D4F11"/>
    <w:rsid w:val="007D5155"/>
    <w:rsid w:val="007D5DB7"/>
    <w:rsid w:val="007D71D6"/>
    <w:rsid w:val="007D71DF"/>
    <w:rsid w:val="007E2F1F"/>
    <w:rsid w:val="007E352B"/>
    <w:rsid w:val="007E3634"/>
    <w:rsid w:val="007E53F7"/>
    <w:rsid w:val="007E5B25"/>
    <w:rsid w:val="007E5D9B"/>
    <w:rsid w:val="007F265B"/>
    <w:rsid w:val="007F3493"/>
    <w:rsid w:val="007F3CF5"/>
    <w:rsid w:val="007F4C7F"/>
    <w:rsid w:val="007F5789"/>
    <w:rsid w:val="007F5DA3"/>
    <w:rsid w:val="007F6C46"/>
    <w:rsid w:val="00800C3F"/>
    <w:rsid w:val="00801AF3"/>
    <w:rsid w:val="008029EB"/>
    <w:rsid w:val="00803E5E"/>
    <w:rsid w:val="008050E0"/>
    <w:rsid w:val="00805B7A"/>
    <w:rsid w:val="00806D6B"/>
    <w:rsid w:val="00811EBB"/>
    <w:rsid w:val="00813E55"/>
    <w:rsid w:val="00814AC5"/>
    <w:rsid w:val="00815232"/>
    <w:rsid w:val="00815A0A"/>
    <w:rsid w:val="00817DD5"/>
    <w:rsid w:val="00820E72"/>
    <w:rsid w:val="00822100"/>
    <w:rsid w:val="00822DC5"/>
    <w:rsid w:val="00823607"/>
    <w:rsid w:val="00823ADC"/>
    <w:rsid w:val="00825341"/>
    <w:rsid w:val="00830D90"/>
    <w:rsid w:val="00831148"/>
    <w:rsid w:val="0083164A"/>
    <w:rsid w:val="00835590"/>
    <w:rsid w:val="008355D0"/>
    <w:rsid w:val="00835600"/>
    <w:rsid w:val="00835AC0"/>
    <w:rsid w:val="00836039"/>
    <w:rsid w:val="0083743C"/>
    <w:rsid w:val="008427FB"/>
    <w:rsid w:val="0084512E"/>
    <w:rsid w:val="008457FA"/>
    <w:rsid w:val="008473E3"/>
    <w:rsid w:val="008474D9"/>
    <w:rsid w:val="00852C59"/>
    <w:rsid w:val="008545AE"/>
    <w:rsid w:val="00856CCA"/>
    <w:rsid w:val="008601CA"/>
    <w:rsid w:val="00860BE6"/>
    <w:rsid w:val="00861617"/>
    <w:rsid w:val="0086161D"/>
    <w:rsid w:val="00862055"/>
    <w:rsid w:val="00862422"/>
    <w:rsid w:val="00862B5C"/>
    <w:rsid w:val="00862B8D"/>
    <w:rsid w:val="00863B94"/>
    <w:rsid w:val="00866ADC"/>
    <w:rsid w:val="00870CAE"/>
    <w:rsid w:val="00872817"/>
    <w:rsid w:val="008732DA"/>
    <w:rsid w:val="00875A96"/>
    <w:rsid w:val="00875F32"/>
    <w:rsid w:val="00875F72"/>
    <w:rsid w:val="00876E74"/>
    <w:rsid w:val="0088223B"/>
    <w:rsid w:val="008835CC"/>
    <w:rsid w:val="0088373E"/>
    <w:rsid w:val="00883D4B"/>
    <w:rsid w:val="00890542"/>
    <w:rsid w:val="0089324F"/>
    <w:rsid w:val="00893FCD"/>
    <w:rsid w:val="00896AD3"/>
    <w:rsid w:val="008A3EF4"/>
    <w:rsid w:val="008A4745"/>
    <w:rsid w:val="008A63A3"/>
    <w:rsid w:val="008B040E"/>
    <w:rsid w:val="008B3B33"/>
    <w:rsid w:val="008B6429"/>
    <w:rsid w:val="008B7166"/>
    <w:rsid w:val="008C160F"/>
    <w:rsid w:val="008C1B75"/>
    <w:rsid w:val="008C260A"/>
    <w:rsid w:val="008C37EF"/>
    <w:rsid w:val="008C4A5B"/>
    <w:rsid w:val="008C6EFC"/>
    <w:rsid w:val="008C7752"/>
    <w:rsid w:val="008D1E3B"/>
    <w:rsid w:val="008D28D3"/>
    <w:rsid w:val="008D3F73"/>
    <w:rsid w:val="008D7C23"/>
    <w:rsid w:val="008D7F6F"/>
    <w:rsid w:val="008E1F2A"/>
    <w:rsid w:val="008F2AB8"/>
    <w:rsid w:val="008F3B52"/>
    <w:rsid w:val="008F4B98"/>
    <w:rsid w:val="008F4D97"/>
    <w:rsid w:val="008F5B69"/>
    <w:rsid w:val="008F7762"/>
    <w:rsid w:val="008F7BC8"/>
    <w:rsid w:val="009000DE"/>
    <w:rsid w:val="00901FC4"/>
    <w:rsid w:val="00902F75"/>
    <w:rsid w:val="00904B14"/>
    <w:rsid w:val="00906409"/>
    <w:rsid w:val="00906EB3"/>
    <w:rsid w:val="0091474D"/>
    <w:rsid w:val="009151CD"/>
    <w:rsid w:val="0091672F"/>
    <w:rsid w:val="00917468"/>
    <w:rsid w:val="00920512"/>
    <w:rsid w:val="0092089D"/>
    <w:rsid w:val="00920B78"/>
    <w:rsid w:val="0092266F"/>
    <w:rsid w:val="009230D1"/>
    <w:rsid w:val="009245FB"/>
    <w:rsid w:val="009248AD"/>
    <w:rsid w:val="00925634"/>
    <w:rsid w:val="009260AE"/>
    <w:rsid w:val="00926A4F"/>
    <w:rsid w:val="00927489"/>
    <w:rsid w:val="009319A1"/>
    <w:rsid w:val="00931C62"/>
    <w:rsid w:val="009358FB"/>
    <w:rsid w:val="00935C18"/>
    <w:rsid w:val="00936869"/>
    <w:rsid w:val="00937554"/>
    <w:rsid w:val="0094018E"/>
    <w:rsid w:val="00941288"/>
    <w:rsid w:val="00943728"/>
    <w:rsid w:val="00944B79"/>
    <w:rsid w:val="00944CD8"/>
    <w:rsid w:val="00945C6B"/>
    <w:rsid w:val="00946DDF"/>
    <w:rsid w:val="00946ED0"/>
    <w:rsid w:val="00950368"/>
    <w:rsid w:val="00950A4E"/>
    <w:rsid w:val="00950F9D"/>
    <w:rsid w:val="00951972"/>
    <w:rsid w:val="00953AFE"/>
    <w:rsid w:val="00955B9A"/>
    <w:rsid w:val="00961C90"/>
    <w:rsid w:val="009645DA"/>
    <w:rsid w:val="009663A3"/>
    <w:rsid w:val="009671E3"/>
    <w:rsid w:val="009704FE"/>
    <w:rsid w:val="009708E3"/>
    <w:rsid w:val="0097207F"/>
    <w:rsid w:val="00974EDD"/>
    <w:rsid w:val="009758B4"/>
    <w:rsid w:val="00977635"/>
    <w:rsid w:val="009811F1"/>
    <w:rsid w:val="00981F93"/>
    <w:rsid w:val="00982777"/>
    <w:rsid w:val="00983019"/>
    <w:rsid w:val="00984813"/>
    <w:rsid w:val="00986037"/>
    <w:rsid w:val="00986272"/>
    <w:rsid w:val="009869B3"/>
    <w:rsid w:val="0099000A"/>
    <w:rsid w:val="009919D5"/>
    <w:rsid w:val="009A01F2"/>
    <w:rsid w:val="009A1ED3"/>
    <w:rsid w:val="009A2BD0"/>
    <w:rsid w:val="009A2DC2"/>
    <w:rsid w:val="009A2F47"/>
    <w:rsid w:val="009A3240"/>
    <w:rsid w:val="009A4467"/>
    <w:rsid w:val="009A4BA4"/>
    <w:rsid w:val="009A6DAF"/>
    <w:rsid w:val="009A6DF3"/>
    <w:rsid w:val="009A7879"/>
    <w:rsid w:val="009B29D1"/>
    <w:rsid w:val="009B30C5"/>
    <w:rsid w:val="009B3DA3"/>
    <w:rsid w:val="009B3E39"/>
    <w:rsid w:val="009B5EDB"/>
    <w:rsid w:val="009B6968"/>
    <w:rsid w:val="009B7C3C"/>
    <w:rsid w:val="009C0768"/>
    <w:rsid w:val="009C096B"/>
    <w:rsid w:val="009C26B5"/>
    <w:rsid w:val="009C2FCF"/>
    <w:rsid w:val="009C4DAF"/>
    <w:rsid w:val="009C6E7A"/>
    <w:rsid w:val="009C72A5"/>
    <w:rsid w:val="009C7531"/>
    <w:rsid w:val="009C7992"/>
    <w:rsid w:val="009D3789"/>
    <w:rsid w:val="009D4345"/>
    <w:rsid w:val="009D4941"/>
    <w:rsid w:val="009D53FE"/>
    <w:rsid w:val="009D65AE"/>
    <w:rsid w:val="009D71E1"/>
    <w:rsid w:val="009E2FB5"/>
    <w:rsid w:val="009E46E2"/>
    <w:rsid w:val="009E484C"/>
    <w:rsid w:val="009E487B"/>
    <w:rsid w:val="009E48D6"/>
    <w:rsid w:val="009E53D2"/>
    <w:rsid w:val="009E7A7B"/>
    <w:rsid w:val="009F040E"/>
    <w:rsid w:val="009F07DC"/>
    <w:rsid w:val="009F09BE"/>
    <w:rsid w:val="009F0CB3"/>
    <w:rsid w:val="009F1698"/>
    <w:rsid w:val="009F1C46"/>
    <w:rsid w:val="009F4730"/>
    <w:rsid w:val="009F53FE"/>
    <w:rsid w:val="009F6DA2"/>
    <w:rsid w:val="00A00588"/>
    <w:rsid w:val="00A0092E"/>
    <w:rsid w:val="00A01A7B"/>
    <w:rsid w:val="00A03AA2"/>
    <w:rsid w:val="00A03BFE"/>
    <w:rsid w:val="00A05E69"/>
    <w:rsid w:val="00A06835"/>
    <w:rsid w:val="00A07FE2"/>
    <w:rsid w:val="00A11B9F"/>
    <w:rsid w:val="00A11F38"/>
    <w:rsid w:val="00A140F0"/>
    <w:rsid w:val="00A14372"/>
    <w:rsid w:val="00A14A35"/>
    <w:rsid w:val="00A15914"/>
    <w:rsid w:val="00A17E96"/>
    <w:rsid w:val="00A2047A"/>
    <w:rsid w:val="00A2090C"/>
    <w:rsid w:val="00A2122F"/>
    <w:rsid w:val="00A21550"/>
    <w:rsid w:val="00A22802"/>
    <w:rsid w:val="00A24700"/>
    <w:rsid w:val="00A25917"/>
    <w:rsid w:val="00A262F3"/>
    <w:rsid w:val="00A264C3"/>
    <w:rsid w:val="00A268C9"/>
    <w:rsid w:val="00A275BF"/>
    <w:rsid w:val="00A307A5"/>
    <w:rsid w:val="00A30B18"/>
    <w:rsid w:val="00A30DC7"/>
    <w:rsid w:val="00A31675"/>
    <w:rsid w:val="00A339DB"/>
    <w:rsid w:val="00A34A8B"/>
    <w:rsid w:val="00A3591A"/>
    <w:rsid w:val="00A35F68"/>
    <w:rsid w:val="00A37ADC"/>
    <w:rsid w:val="00A405B2"/>
    <w:rsid w:val="00A41892"/>
    <w:rsid w:val="00A42718"/>
    <w:rsid w:val="00A437D1"/>
    <w:rsid w:val="00A44B87"/>
    <w:rsid w:val="00A44CAE"/>
    <w:rsid w:val="00A451A7"/>
    <w:rsid w:val="00A45555"/>
    <w:rsid w:val="00A46941"/>
    <w:rsid w:val="00A47178"/>
    <w:rsid w:val="00A478BD"/>
    <w:rsid w:val="00A50A89"/>
    <w:rsid w:val="00A51F55"/>
    <w:rsid w:val="00A53E91"/>
    <w:rsid w:val="00A53F09"/>
    <w:rsid w:val="00A55046"/>
    <w:rsid w:val="00A5603D"/>
    <w:rsid w:val="00A5634F"/>
    <w:rsid w:val="00A610BA"/>
    <w:rsid w:val="00A66309"/>
    <w:rsid w:val="00A67D4D"/>
    <w:rsid w:val="00A701C3"/>
    <w:rsid w:val="00A70282"/>
    <w:rsid w:val="00A70F5A"/>
    <w:rsid w:val="00A715BD"/>
    <w:rsid w:val="00A71EBE"/>
    <w:rsid w:val="00A72141"/>
    <w:rsid w:val="00A723C9"/>
    <w:rsid w:val="00A734F6"/>
    <w:rsid w:val="00A7721D"/>
    <w:rsid w:val="00A86966"/>
    <w:rsid w:val="00A93304"/>
    <w:rsid w:val="00A93E7B"/>
    <w:rsid w:val="00A957C3"/>
    <w:rsid w:val="00A9721C"/>
    <w:rsid w:val="00AA12F7"/>
    <w:rsid w:val="00AA151E"/>
    <w:rsid w:val="00AA640E"/>
    <w:rsid w:val="00AB1281"/>
    <w:rsid w:val="00AB39CC"/>
    <w:rsid w:val="00AB3BF3"/>
    <w:rsid w:val="00AB3ECA"/>
    <w:rsid w:val="00AB4393"/>
    <w:rsid w:val="00AB542F"/>
    <w:rsid w:val="00AB5F82"/>
    <w:rsid w:val="00AB73DB"/>
    <w:rsid w:val="00AC1F7A"/>
    <w:rsid w:val="00AC67EB"/>
    <w:rsid w:val="00AD005A"/>
    <w:rsid w:val="00AD030F"/>
    <w:rsid w:val="00AD170A"/>
    <w:rsid w:val="00AD2ADB"/>
    <w:rsid w:val="00AD36A0"/>
    <w:rsid w:val="00AD4B34"/>
    <w:rsid w:val="00AD4CBC"/>
    <w:rsid w:val="00AD51F6"/>
    <w:rsid w:val="00AD6453"/>
    <w:rsid w:val="00AD6DBF"/>
    <w:rsid w:val="00AD7D5B"/>
    <w:rsid w:val="00AE1162"/>
    <w:rsid w:val="00AE1A42"/>
    <w:rsid w:val="00AE534D"/>
    <w:rsid w:val="00AE5A4A"/>
    <w:rsid w:val="00AE6644"/>
    <w:rsid w:val="00AE6FB4"/>
    <w:rsid w:val="00AF142D"/>
    <w:rsid w:val="00AF35E8"/>
    <w:rsid w:val="00AF47AD"/>
    <w:rsid w:val="00AF69BF"/>
    <w:rsid w:val="00AF7BC6"/>
    <w:rsid w:val="00B00DAC"/>
    <w:rsid w:val="00B015B2"/>
    <w:rsid w:val="00B01ADD"/>
    <w:rsid w:val="00B07993"/>
    <w:rsid w:val="00B112DF"/>
    <w:rsid w:val="00B11880"/>
    <w:rsid w:val="00B118E9"/>
    <w:rsid w:val="00B135BD"/>
    <w:rsid w:val="00B13EE1"/>
    <w:rsid w:val="00B13F51"/>
    <w:rsid w:val="00B1747F"/>
    <w:rsid w:val="00B2004C"/>
    <w:rsid w:val="00B21081"/>
    <w:rsid w:val="00B233C0"/>
    <w:rsid w:val="00B241BB"/>
    <w:rsid w:val="00B30472"/>
    <w:rsid w:val="00B309DD"/>
    <w:rsid w:val="00B30D02"/>
    <w:rsid w:val="00B33693"/>
    <w:rsid w:val="00B33C1C"/>
    <w:rsid w:val="00B343A7"/>
    <w:rsid w:val="00B34792"/>
    <w:rsid w:val="00B34AB6"/>
    <w:rsid w:val="00B35483"/>
    <w:rsid w:val="00B37248"/>
    <w:rsid w:val="00B372F2"/>
    <w:rsid w:val="00B405D2"/>
    <w:rsid w:val="00B40F95"/>
    <w:rsid w:val="00B419CB"/>
    <w:rsid w:val="00B42833"/>
    <w:rsid w:val="00B43887"/>
    <w:rsid w:val="00B460FE"/>
    <w:rsid w:val="00B461F1"/>
    <w:rsid w:val="00B4632C"/>
    <w:rsid w:val="00B4663B"/>
    <w:rsid w:val="00B471F9"/>
    <w:rsid w:val="00B51032"/>
    <w:rsid w:val="00B51E23"/>
    <w:rsid w:val="00B52146"/>
    <w:rsid w:val="00B52831"/>
    <w:rsid w:val="00B52DCB"/>
    <w:rsid w:val="00B533CB"/>
    <w:rsid w:val="00B53461"/>
    <w:rsid w:val="00B55FDA"/>
    <w:rsid w:val="00B57DF2"/>
    <w:rsid w:val="00B60058"/>
    <w:rsid w:val="00B61F4D"/>
    <w:rsid w:val="00B62CFA"/>
    <w:rsid w:val="00B636AF"/>
    <w:rsid w:val="00B63783"/>
    <w:rsid w:val="00B646B4"/>
    <w:rsid w:val="00B64A05"/>
    <w:rsid w:val="00B67DD1"/>
    <w:rsid w:val="00B74673"/>
    <w:rsid w:val="00B74856"/>
    <w:rsid w:val="00B75AE7"/>
    <w:rsid w:val="00B81A3D"/>
    <w:rsid w:val="00B82292"/>
    <w:rsid w:val="00B8731D"/>
    <w:rsid w:val="00B8794B"/>
    <w:rsid w:val="00B90450"/>
    <w:rsid w:val="00B9078A"/>
    <w:rsid w:val="00B91AA1"/>
    <w:rsid w:val="00B93703"/>
    <w:rsid w:val="00B96F70"/>
    <w:rsid w:val="00BA21F0"/>
    <w:rsid w:val="00BA2371"/>
    <w:rsid w:val="00BA2A19"/>
    <w:rsid w:val="00BA30B4"/>
    <w:rsid w:val="00BA4002"/>
    <w:rsid w:val="00BA4CDA"/>
    <w:rsid w:val="00BA6884"/>
    <w:rsid w:val="00BA6B4E"/>
    <w:rsid w:val="00BA706F"/>
    <w:rsid w:val="00BB0967"/>
    <w:rsid w:val="00BB279F"/>
    <w:rsid w:val="00BB33C5"/>
    <w:rsid w:val="00BB4EDF"/>
    <w:rsid w:val="00BB63F5"/>
    <w:rsid w:val="00BB72CB"/>
    <w:rsid w:val="00BC0C38"/>
    <w:rsid w:val="00BC125B"/>
    <w:rsid w:val="00BC7423"/>
    <w:rsid w:val="00BD0687"/>
    <w:rsid w:val="00BD1552"/>
    <w:rsid w:val="00BD1EB8"/>
    <w:rsid w:val="00BD2060"/>
    <w:rsid w:val="00BE0D57"/>
    <w:rsid w:val="00BE2379"/>
    <w:rsid w:val="00BE3510"/>
    <w:rsid w:val="00BF0D73"/>
    <w:rsid w:val="00BF1C07"/>
    <w:rsid w:val="00BF42B4"/>
    <w:rsid w:val="00C0297A"/>
    <w:rsid w:val="00C04511"/>
    <w:rsid w:val="00C06AF3"/>
    <w:rsid w:val="00C1021E"/>
    <w:rsid w:val="00C10871"/>
    <w:rsid w:val="00C10969"/>
    <w:rsid w:val="00C114D3"/>
    <w:rsid w:val="00C12847"/>
    <w:rsid w:val="00C1649C"/>
    <w:rsid w:val="00C169DC"/>
    <w:rsid w:val="00C228BA"/>
    <w:rsid w:val="00C2436B"/>
    <w:rsid w:val="00C2455F"/>
    <w:rsid w:val="00C27C6F"/>
    <w:rsid w:val="00C27D26"/>
    <w:rsid w:val="00C319F3"/>
    <w:rsid w:val="00C32325"/>
    <w:rsid w:val="00C33B6D"/>
    <w:rsid w:val="00C34149"/>
    <w:rsid w:val="00C34AB8"/>
    <w:rsid w:val="00C37C46"/>
    <w:rsid w:val="00C40F61"/>
    <w:rsid w:val="00C4227A"/>
    <w:rsid w:val="00C4228B"/>
    <w:rsid w:val="00C44D86"/>
    <w:rsid w:val="00C4592A"/>
    <w:rsid w:val="00C46FE4"/>
    <w:rsid w:val="00C47122"/>
    <w:rsid w:val="00C474CB"/>
    <w:rsid w:val="00C51680"/>
    <w:rsid w:val="00C52F77"/>
    <w:rsid w:val="00C53635"/>
    <w:rsid w:val="00C53C87"/>
    <w:rsid w:val="00C53FC6"/>
    <w:rsid w:val="00C5465F"/>
    <w:rsid w:val="00C54E90"/>
    <w:rsid w:val="00C56C5A"/>
    <w:rsid w:val="00C57E46"/>
    <w:rsid w:val="00C6045D"/>
    <w:rsid w:val="00C61E5A"/>
    <w:rsid w:val="00C62283"/>
    <w:rsid w:val="00C631F9"/>
    <w:rsid w:val="00C6328A"/>
    <w:rsid w:val="00C644EA"/>
    <w:rsid w:val="00C64EC9"/>
    <w:rsid w:val="00C665B8"/>
    <w:rsid w:val="00C668A3"/>
    <w:rsid w:val="00C67D0E"/>
    <w:rsid w:val="00C706BB"/>
    <w:rsid w:val="00C73A52"/>
    <w:rsid w:val="00C73DE1"/>
    <w:rsid w:val="00C74250"/>
    <w:rsid w:val="00C74851"/>
    <w:rsid w:val="00C80816"/>
    <w:rsid w:val="00C80B06"/>
    <w:rsid w:val="00C82341"/>
    <w:rsid w:val="00C826D8"/>
    <w:rsid w:val="00C83519"/>
    <w:rsid w:val="00C84D07"/>
    <w:rsid w:val="00C851C9"/>
    <w:rsid w:val="00C8668D"/>
    <w:rsid w:val="00C9253B"/>
    <w:rsid w:val="00C9505B"/>
    <w:rsid w:val="00C97C13"/>
    <w:rsid w:val="00CA2B88"/>
    <w:rsid w:val="00CA529E"/>
    <w:rsid w:val="00CA5D54"/>
    <w:rsid w:val="00CA6817"/>
    <w:rsid w:val="00CA6CB2"/>
    <w:rsid w:val="00CA7889"/>
    <w:rsid w:val="00CB03A8"/>
    <w:rsid w:val="00CB344A"/>
    <w:rsid w:val="00CB3632"/>
    <w:rsid w:val="00CB38CF"/>
    <w:rsid w:val="00CB4200"/>
    <w:rsid w:val="00CB6170"/>
    <w:rsid w:val="00CB63E2"/>
    <w:rsid w:val="00CB6A7F"/>
    <w:rsid w:val="00CB6D91"/>
    <w:rsid w:val="00CB7B72"/>
    <w:rsid w:val="00CC0DFA"/>
    <w:rsid w:val="00CC1B55"/>
    <w:rsid w:val="00CC1D7C"/>
    <w:rsid w:val="00CC2EEF"/>
    <w:rsid w:val="00CC555C"/>
    <w:rsid w:val="00CD18D9"/>
    <w:rsid w:val="00CD2663"/>
    <w:rsid w:val="00CD360B"/>
    <w:rsid w:val="00CD37AC"/>
    <w:rsid w:val="00CD4352"/>
    <w:rsid w:val="00CD4FB2"/>
    <w:rsid w:val="00CD5BA7"/>
    <w:rsid w:val="00CD5D8E"/>
    <w:rsid w:val="00CE0063"/>
    <w:rsid w:val="00CE01F5"/>
    <w:rsid w:val="00CE3951"/>
    <w:rsid w:val="00CE6B6B"/>
    <w:rsid w:val="00CE7182"/>
    <w:rsid w:val="00CE789B"/>
    <w:rsid w:val="00CF2167"/>
    <w:rsid w:val="00CF23CD"/>
    <w:rsid w:val="00CF2731"/>
    <w:rsid w:val="00CF3F94"/>
    <w:rsid w:val="00CF46E5"/>
    <w:rsid w:val="00CF6FC5"/>
    <w:rsid w:val="00D00467"/>
    <w:rsid w:val="00D00796"/>
    <w:rsid w:val="00D00C71"/>
    <w:rsid w:val="00D02B2A"/>
    <w:rsid w:val="00D04385"/>
    <w:rsid w:val="00D06023"/>
    <w:rsid w:val="00D06FE8"/>
    <w:rsid w:val="00D12AC7"/>
    <w:rsid w:val="00D12DCE"/>
    <w:rsid w:val="00D133B5"/>
    <w:rsid w:val="00D165FF"/>
    <w:rsid w:val="00D16C1A"/>
    <w:rsid w:val="00D1787C"/>
    <w:rsid w:val="00D2081B"/>
    <w:rsid w:val="00D21122"/>
    <w:rsid w:val="00D21546"/>
    <w:rsid w:val="00D217CB"/>
    <w:rsid w:val="00D241CF"/>
    <w:rsid w:val="00D266A9"/>
    <w:rsid w:val="00D30F32"/>
    <w:rsid w:val="00D331AB"/>
    <w:rsid w:val="00D4045E"/>
    <w:rsid w:val="00D40A7C"/>
    <w:rsid w:val="00D40F2D"/>
    <w:rsid w:val="00D415B8"/>
    <w:rsid w:val="00D41D1F"/>
    <w:rsid w:val="00D42535"/>
    <w:rsid w:val="00D442FD"/>
    <w:rsid w:val="00D456C6"/>
    <w:rsid w:val="00D47613"/>
    <w:rsid w:val="00D521B7"/>
    <w:rsid w:val="00D52BFF"/>
    <w:rsid w:val="00D56793"/>
    <w:rsid w:val="00D57097"/>
    <w:rsid w:val="00D60615"/>
    <w:rsid w:val="00D60FB7"/>
    <w:rsid w:val="00D62677"/>
    <w:rsid w:val="00D62F0E"/>
    <w:rsid w:val="00D62FB4"/>
    <w:rsid w:val="00D63398"/>
    <w:rsid w:val="00D64049"/>
    <w:rsid w:val="00D65344"/>
    <w:rsid w:val="00D66E0C"/>
    <w:rsid w:val="00D67C33"/>
    <w:rsid w:val="00D67FD1"/>
    <w:rsid w:val="00D70C06"/>
    <w:rsid w:val="00D74066"/>
    <w:rsid w:val="00D7667D"/>
    <w:rsid w:val="00D76F92"/>
    <w:rsid w:val="00D77113"/>
    <w:rsid w:val="00D83D0D"/>
    <w:rsid w:val="00D84E8D"/>
    <w:rsid w:val="00D877F1"/>
    <w:rsid w:val="00D90BB8"/>
    <w:rsid w:val="00D9211F"/>
    <w:rsid w:val="00D938D9"/>
    <w:rsid w:val="00D93BD3"/>
    <w:rsid w:val="00D94062"/>
    <w:rsid w:val="00D975E1"/>
    <w:rsid w:val="00D978CD"/>
    <w:rsid w:val="00DA01ED"/>
    <w:rsid w:val="00DA0700"/>
    <w:rsid w:val="00DA0E12"/>
    <w:rsid w:val="00DA7D47"/>
    <w:rsid w:val="00DB00A2"/>
    <w:rsid w:val="00DB0840"/>
    <w:rsid w:val="00DB5841"/>
    <w:rsid w:val="00DC125E"/>
    <w:rsid w:val="00DC3DB2"/>
    <w:rsid w:val="00DC4E8A"/>
    <w:rsid w:val="00DC50CB"/>
    <w:rsid w:val="00DC5393"/>
    <w:rsid w:val="00DC72AC"/>
    <w:rsid w:val="00DC773B"/>
    <w:rsid w:val="00DC78A3"/>
    <w:rsid w:val="00DD343F"/>
    <w:rsid w:val="00DD4BD7"/>
    <w:rsid w:val="00DD4D50"/>
    <w:rsid w:val="00DD658E"/>
    <w:rsid w:val="00DD7FE8"/>
    <w:rsid w:val="00DE078E"/>
    <w:rsid w:val="00DE1F3F"/>
    <w:rsid w:val="00DE3FAF"/>
    <w:rsid w:val="00DE419D"/>
    <w:rsid w:val="00DE5FF3"/>
    <w:rsid w:val="00DE62C5"/>
    <w:rsid w:val="00DF14EE"/>
    <w:rsid w:val="00DF1E9A"/>
    <w:rsid w:val="00DF3665"/>
    <w:rsid w:val="00DF573A"/>
    <w:rsid w:val="00DF6C07"/>
    <w:rsid w:val="00E00123"/>
    <w:rsid w:val="00E00719"/>
    <w:rsid w:val="00E032AC"/>
    <w:rsid w:val="00E03A1E"/>
    <w:rsid w:val="00E046FC"/>
    <w:rsid w:val="00E04E52"/>
    <w:rsid w:val="00E05CD3"/>
    <w:rsid w:val="00E06895"/>
    <w:rsid w:val="00E06FDD"/>
    <w:rsid w:val="00E10359"/>
    <w:rsid w:val="00E11EA4"/>
    <w:rsid w:val="00E12CC2"/>
    <w:rsid w:val="00E13C92"/>
    <w:rsid w:val="00E141D7"/>
    <w:rsid w:val="00E15B95"/>
    <w:rsid w:val="00E15F99"/>
    <w:rsid w:val="00E21E4F"/>
    <w:rsid w:val="00E22128"/>
    <w:rsid w:val="00E22DF8"/>
    <w:rsid w:val="00E23A40"/>
    <w:rsid w:val="00E25401"/>
    <w:rsid w:val="00E2719A"/>
    <w:rsid w:val="00E27CE7"/>
    <w:rsid w:val="00E32516"/>
    <w:rsid w:val="00E34342"/>
    <w:rsid w:val="00E34DC2"/>
    <w:rsid w:val="00E3618B"/>
    <w:rsid w:val="00E362D7"/>
    <w:rsid w:val="00E40AA4"/>
    <w:rsid w:val="00E410A1"/>
    <w:rsid w:val="00E41737"/>
    <w:rsid w:val="00E424CD"/>
    <w:rsid w:val="00E4276B"/>
    <w:rsid w:val="00E43997"/>
    <w:rsid w:val="00E46B11"/>
    <w:rsid w:val="00E47430"/>
    <w:rsid w:val="00E4782D"/>
    <w:rsid w:val="00E51159"/>
    <w:rsid w:val="00E52E40"/>
    <w:rsid w:val="00E537DA"/>
    <w:rsid w:val="00E556A3"/>
    <w:rsid w:val="00E57364"/>
    <w:rsid w:val="00E604E7"/>
    <w:rsid w:val="00E61523"/>
    <w:rsid w:val="00E61725"/>
    <w:rsid w:val="00E61A8A"/>
    <w:rsid w:val="00E61D05"/>
    <w:rsid w:val="00E629E9"/>
    <w:rsid w:val="00E62AD7"/>
    <w:rsid w:val="00E63247"/>
    <w:rsid w:val="00E65720"/>
    <w:rsid w:val="00E66701"/>
    <w:rsid w:val="00E70350"/>
    <w:rsid w:val="00E717D1"/>
    <w:rsid w:val="00E723B7"/>
    <w:rsid w:val="00E73123"/>
    <w:rsid w:val="00E7468D"/>
    <w:rsid w:val="00E749B2"/>
    <w:rsid w:val="00E759B2"/>
    <w:rsid w:val="00E77CC5"/>
    <w:rsid w:val="00E813C5"/>
    <w:rsid w:val="00E826BB"/>
    <w:rsid w:val="00E83778"/>
    <w:rsid w:val="00E839CE"/>
    <w:rsid w:val="00E8481E"/>
    <w:rsid w:val="00E84928"/>
    <w:rsid w:val="00E86A89"/>
    <w:rsid w:val="00E86CB2"/>
    <w:rsid w:val="00E86E7F"/>
    <w:rsid w:val="00E92134"/>
    <w:rsid w:val="00E92ABE"/>
    <w:rsid w:val="00E936DF"/>
    <w:rsid w:val="00E94BD7"/>
    <w:rsid w:val="00E97731"/>
    <w:rsid w:val="00EA1794"/>
    <w:rsid w:val="00EA18F9"/>
    <w:rsid w:val="00EA2E9D"/>
    <w:rsid w:val="00EA35CE"/>
    <w:rsid w:val="00EA3E8E"/>
    <w:rsid w:val="00EA4AB8"/>
    <w:rsid w:val="00EA5AD1"/>
    <w:rsid w:val="00EA6A3D"/>
    <w:rsid w:val="00EB0126"/>
    <w:rsid w:val="00EB16AB"/>
    <w:rsid w:val="00EB1E4A"/>
    <w:rsid w:val="00EB1FA7"/>
    <w:rsid w:val="00EB53DC"/>
    <w:rsid w:val="00EB5554"/>
    <w:rsid w:val="00EB7533"/>
    <w:rsid w:val="00EB765F"/>
    <w:rsid w:val="00EC1764"/>
    <w:rsid w:val="00EC1B45"/>
    <w:rsid w:val="00EC1E99"/>
    <w:rsid w:val="00EC4C13"/>
    <w:rsid w:val="00EC5CF7"/>
    <w:rsid w:val="00EC5EB0"/>
    <w:rsid w:val="00ED033C"/>
    <w:rsid w:val="00ED1EC1"/>
    <w:rsid w:val="00ED270F"/>
    <w:rsid w:val="00ED5739"/>
    <w:rsid w:val="00ED59B1"/>
    <w:rsid w:val="00ED7290"/>
    <w:rsid w:val="00EE1CA1"/>
    <w:rsid w:val="00EE2922"/>
    <w:rsid w:val="00EE7B5E"/>
    <w:rsid w:val="00EF0F5C"/>
    <w:rsid w:val="00EF14B6"/>
    <w:rsid w:val="00EF3570"/>
    <w:rsid w:val="00EF5AD4"/>
    <w:rsid w:val="00EF6ADC"/>
    <w:rsid w:val="00EF73FB"/>
    <w:rsid w:val="00F00CEA"/>
    <w:rsid w:val="00F02DD6"/>
    <w:rsid w:val="00F050D5"/>
    <w:rsid w:val="00F059E9"/>
    <w:rsid w:val="00F07A24"/>
    <w:rsid w:val="00F11592"/>
    <w:rsid w:val="00F116A0"/>
    <w:rsid w:val="00F11D4D"/>
    <w:rsid w:val="00F13677"/>
    <w:rsid w:val="00F13C26"/>
    <w:rsid w:val="00F2053F"/>
    <w:rsid w:val="00F2283E"/>
    <w:rsid w:val="00F2318B"/>
    <w:rsid w:val="00F24686"/>
    <w:rsid w:val="00F25571"/>
    <w:rsid w:val="00F26BDC"/>
    <w:rsid w:val="00F30052"/>
    <w:rsid w:val="00F302AA"/>
    <w:rsid w:val="00F30906"/>
    <w:rsid w:val="00F318E2"/>
    <w:rsid w:val="00F34AA6"/>
    <w:rsid w:val="00F35356"/>
    <w:rsid w:val="00F355EE"/>
    <w:rsid w:val="00F35C79"/>
    <w:rsid w:val="00F3640C"/>
    <w:rsid w:val="00F3656C"/>
    <w:rsid w:val="00F40D77"/>
    <w:rsid w:val="00F41CEB"/>
    <w:rsid w:val="00F41E67"/>
    <w:rsid w:val="00F41EFD"/>
    <w:rsid w:val="00F42023"/>
    <w:rsid w:val="00F43A1A"/>
    <w:rsid w:val="00F4632C"/>
    <w:rsid w:val="00F46790"/>
    <w:rsid w:val="00F46C7E"/>
    <w:rsid w:val="00F47A3A"/>
    <w:rsid w:val="00F52C78"/>
    <w:rsid w:val="00F54485"/>
    <w:rsid w:val="00F54C31"/>
    <w:rsid w:val="00F54E38"/>
    <w:rsid w:val="00F5556B"/>
    <w:rsid w:val="00F557DE"/>
    <w:rsid w:val="00F56E3D"/>
    <w:rsid w:val="00F60B78"/>
    <w:rsid w:val="00F63F86"/>
    <w:rsid w:val="00F6681E"/>
    <w:rsid w:val="00F6698C"/>
    <w:rsid w:val="00F73842"/>
    <w:rsid w:val="00F73923"/>
    <w:rsid w:val="00F76001"/>
    <w:rsid w:val="00F760E1"/>
    <w:rsid w:val="00F76F47"/>
    <w:rsid w:val="00F80CCA"/>
    <w:rsid w:val="00F81C4D"/>
    <w:rsid w:val="00F84E0C"/>
    <w:rsid w:val="00F947B4"/>
    <w:rsid w:val="00F9571F"/>
    <w:rsid w:val="00F971D3"/>
    <w:rsid w:val="00FA216D"/>
    <w:rsid w:val="00FA262D"/>
    <w:rsid w:val="00FA4B8A"/>
    <w:rsid w:val="00FA611F"/>
    <w:rsid w:val="00FB16B3"/>
    <w:rsid w:val="00FB501B"/>
    <w:rsid w:val="00FB5D7B"/>
    <w:rsid w:val="00FB610F"/>
    <w:rsid w:val="00FB6808"/>
    <w:rsid w:val="00FC0242"/>
    <w:rsid w:val="00FC1CB3"/>
    <w:rsid w:val="00FC5AA5"/>
    <w:rsid w:val="00FD073A"/>
    <w:rsid w:val="00FD09C0"/>
    <w:rsid w:val="00FD27BE"/>
    <w:rsid w:val="00FD3661"/>
    <w:rsid w:val="00FD6224"/>
    <w:rsid w:val="00FD7FB4"/>
    <w:rsid w:val="00FE1DBC"/>
    <w:rsid w:val="00FE412C"/>
    <w:rsid w:val="00FF0772"/>
    <w:rsid w:val="00FF179C"/>
    <w:rsid w:val="00FF1EA3"/>
    <w:rsid w:val="00FF400B"/>
    <w:rsid w:val="00FF42CA"/>
    <w:rsid w:val="00FF5120"/>
    <w:rsid w:val="00FF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1E31D-67E6-6E43-9776-4C55764F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B31C7"/>
    <w:rPr>
      <w:rFonts w:ascii="Verdana" w:hAnsi="Verdana"/>
      <w:sz w:val="18"/>
      <w:szCs w:val="18"/>
      <w:lang w:val="en-GB" w:eastAsia="en-GB"/>
    </w:rPr>
  </w:style>
  <w:style w:type="paragraph" w:styleId="berschrift1">
    <w:name w:val="heading 1"/>
    <w:basedOn w:val="No-numheading1Agency"/>
    <w:next w:val="BodytextAgency"/>
    <w:link w:val="berschrift1Zchn"/>
    <w:uiPriority w:val="9"/>
    <w:qFormat/>
    <w:rsid w:val="001856FF"/>
    <w:rPr>
      <w:noProof/>
    </w:rPr>
  </w:style>
  <w:style w:type="paragraph" w:styleId="berschrift2">
    <w:name w:val="heading 2"/>
    <w:basedOn w:val="No-numheading2Agency"/>
    <w:next w:val="BodytextAgency"/>
    <w:semiHidden/>
    <w:unhideWhenUsed/>
    <w:qFormat/>
    <w:rsid w:val="001856FF"/>
    <w:pPr>
      <w:spacing w:before="240" w:after="60"/>
    </w:pPr>
    <w:rPr>
      <w:rFonts w:ascii="Cambria" w:eastAsia="Times New Roman" w:hAnsi="Cambria" w:cs="Times New Roman"/>
      <w:iCs/>
      <w:kern w:val="0"/>
      <w:sz w:val="28"/>
      <w:szCs w:val="28"/>
      <w:lang w:eastAsia="zh-CN"/>
    </w:rPr>
  </w:style>
  <w:style w:type="paragraph" w:styleId="berschrift3">
    <w:name w:val="heading 3"/>
    <w:basedOn w:val="No-numheading3Agency"/>
    <w:next w:val="BodytextAgency"/>
    <w:link w:val="berschrift3Zchn"/>
    <w:uiPriority w:val="9"/>
    <w:unhideWhenUsed/>
    <w:qFormat/>
    <w:rsid w:val="001856FF"/>
    <w:pPr>
      <w:spacing w:before="240" w:after="60"/>
    </w:pPr>
    <w:rPr>
      <w:rFonts w:ascii="Cambria" w:eastAsia="Times New Roman" w:hAnsi="Cambria" w:cs="Times New Roman"/>
      <w:kern w:val="0"/>
      <w:sz w:val="26"/>
      <w:szCs w:val="26"/>
      <w:lang w:eastAsia="zh-CN"/>
    </w:rPr>
  </w:style>
  <w:style w:type="paragraph" w:styleId="berschrift4">
    <w:name w:val="heading 4"/>
    <w:basedOn w:val="No-numheading4Agency"/>
    <w:next w:val="BodytextAgency"/>
    <w:semiHidden/>
    <w:unhideWhenUsed/>
    <w:qFormat/>
    <w:rsid w:val="001856FF"/>
    <w:pPr>
      <w:spacing w:before="240" w:after="60"/>
    </w:pPr>
    <w:rPr>
      <w:rFonts w:ascii="Calibri" w:eastAsia="Times New Roman" w:hAnsi="Calibri" w:cs="Times New Roman"/>
      <w:i w:val="0"/>
      <w:kern w:val="0"/>
      <w:sz w:val="28"/>
      <w:szCs w:val="28"/>
      <w:lang w:eastAsia="zh-CN"/>
    </w:rPr>
  </w:style>
  <w:style w:type="paragraph" w:styleId="berschrift5">
    <w:name w:val="heading 5"/>
    <w:basedOn w:val="Standard"/>
    <w:next w:val="Standard"/>
    <w:semiHidden/>
    <w:unhideWhenUsed/>
    <w:qFormat/>
    <w:rsid w:val="001856FF"/>
    <w:pPr>
      <w:spacing w:before="240" w:after="60"/>
      <w:outlineLvl w:val="4"/>
    </w:pPr>
    <w:rPr>
      <w:rFonts w:ascii="Calibri" w:eastAsia="Times New Roman" w:hAnsi="Calibri"/>
      <w:b/>
      <w:bCs/>
      <w:i/>
      <w:iCs/>
      <w:sz w:val="26"/>
      <w:szCs w:val="26"/>
      <w:lang w:eastAsia="zh-CN"/>
    </w:rPr>
  </w:style>
  <w:style w:type="paragraph" w:styleId="berschrift6">
    <w:name w:val="heading 6"/>
    <w:basedOn w:val="No-numheading6Agency"/>
    <w:next w:val="BodytextAgency"/>
    <w:semiHidden/>
    <w:unhideWhenUsed/>
    <w:qFormat/>
    <w:rsid w:val="001856FF"/>
    <w:pPr>
      <w:keepNext w:val="0"/>
      <w:spacing w:before="240" w:after="60"/>
    </w:pPr>
    <w:rPr>
      <w:rFonts w:ascii="Calibri" w:eastAsia="Times New Roman" w:hAnsi="Calibri" w:cs="Times New Roman"/>
      <w:kern w:val="0"/>
      <w:sz w:val="22"/>
      <w:szCs w:val="22"/>
      <w:lang w:eastAsia="zh-CN"/>
    </w:rPr>
  </w:style>
  <w:style w:type="paragraph" w:styleId="berschrift7">
    <w:name w:val="heading 7"/>
    <w:basedOn w:val="No-numheading7Agency"/>
    <w:next w:val="BodytextAgency"/>
    <w:semiHidden/>
    <w:unhideWhenUsed/>
    <w:qFormat/>
    <w:rsid w:val="001856FF"/>
    <w:pPr>
      <w:keepNext w:val="0"/>
      <w:spacing w:before="240" w:after="60"/>
    </w:pPr>
    <w:rPr>
      <w:rFonts w:ascii="Calibri" w:eastAsia="Times New Roman" w:hAnsi="Calibri" w:cs="Times New Roman"/>
      <w:b w:val="0"/>
      <w:bCs w:val="0"/>
      <w:kern w:val="0"/>
      <w:sz w:val="24"/>
      <w:szCs w:val="24"/>
      <w:lang w:eastAsia="zh-CN"/>
    </w:rPr>
  </w:style>
  <w:style w:type="paragraph" w:styleId="berschrift8">
    <w:name w:val="heading 8"/>
    <w:basedOn w:val="No-numheading8Agency"/>
    <w:next w:val="BodytextAgency"/>
    <w:semiHidden/>
    <w:unhideWhenUsed/>
    <w:qFormat/>
    <w:rsid w:val="001856FF"/>
    <w:pPr>
      <w:keepNext w:val="0"/>
      <w:spacing w:before="240" w:after="60"/>
    </w:pPr>
    <w:rPr>
      <w:rFonts w:ascii="Calibri" w:eastAsia="Times New Roman" w:hAnsi="Calibri" w:cs="Times New Roman"/>
      <w:b w:val="0"/>
      <w:bCs w:val="0"/>
      <w:i/>
      <w:iCs/>
      <w:kern w:val="0"/>
      <w:sz w:val="24"/>
      <w:szCs w:val="24"/>
      <w:lang w:eastAsia="zh-CN"/>
    </w:rPr>
  </w:style>
  <w:style w:type="paragraph" w:styleId="berschrift9">
    <w:name w:val="heading 9"/>
    <w:basedOn w:val="No-numheading9Agency"/>
    <w:next w:val="BodytextAgency"/>
    <w:semiHidden/>
    <w:unhideWhenUsed/>
    <w:qFormat/>
    <w:rsid w:val="001856FF"/>
    <w:pPr>
      <w:keepNext w:val="0"/>
      <w:spacing w:before="240" w:after="60"/>
    </w:pPr>
    <w:rPr>
      <w:rFonts w:ascii="Cambria" w:eastAsia="Times New Roman" w:hAnsi="Cambria" w:cs="Times New Roman"/>
      <w:b w:val="0"/>
      <w:bCs w:val="0"/>
      <w:kern w:val="0"/>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centredAgency">
    <w:name w:val="Heading centred (Agency)"/>
    <w:basedOn w:val="No-numheading1Agency"/>
    <w:next w:val="BodytextAgency"/>
    <w:qFormat/>
    <w:rsid w:val="007B31C7"/>
    <w:pPr>
      <w:jc w:val="center"/>
    </w:pPr>
  </w:style>
  <w:style w:type="paragraph" w:styleId="Fuzeile">
    <w:name w:val="footer"/>
    <w:basedOn w:val="Standard"/>
    <w:link w:val="FuzeileZchn"/>
    <w:uiPriority w:val="99"/>
    <w:rsid w:val="00E51159"/>
    <w:pPr>
      <w:tabs>
        <w:tab w:val="center" w:pos="4153"/>
        <w:tab w:val="right" w:pos="8306"/>
      </w:tabs>
    </w:pPr>
    <w:rPr>
      <w:rFonts w:ascii="Arial" w:eastAsia="Times New Roman" w:hAnsi="Arial"/>
      <w:sz w:val="16"/>
      <w:szCs w:val="20"/>
      <w:lang w:eastAsia="en-US"/>
    </w:rPr>
  </w:style>
  <w:style w:type="character" w:styleId="Seitenzahl">
    <w:name w:val="page number"/>
    <w:basedOn w:val="Absatz-Standardschriftart"/>
    <w:semiHidden/>
    <w:rsid w:val="00E51159"/>
  </w:style>
  <w:style w:type="paragraph" w:customStyle="1" w:styleId="FooterAgency">
    <w:name w:val="Footer (Agency)"/>
    <w:basedOn w:val="Standard"/>
    <w:link w:val="FooterAgencyCharChar"/>
    <w:rsid w:val="001856FF"/>
    <w:rPr>
      <w:rFonts w:eastAsia="Verdana"/>
      <w:color w:val="6D6F71"/>
      <w:sz w:val="14"/>
      <w:szCs w:val="14"/>
    </w:rPr>
  </w:style>
  <w:style w:type="paragraph" w:customStyle="1" w:styleId="FooterblueAgency">
    <w:name w:val="Footer blue (Agency)"/>
    <w:basedOn w:val="Standard"/>
    <w:link w:val="FooterblueAgencyCharChar"/>
    <w:rsid w:val="001856FF"/>
    <w:rPr>
      <w:rFonts w:eastAsia="Verdana"/>
      <w:b/>
      <w:color w:val="003399"/>
      <w:sz w:val="13"/>
      <w:szCs w:val="14"/>
    </w:rPr>
  </w:style>
  <w:style w:type="table" w:customStyle="1" w:styleId="FootertableAgency">
    <w:name w:val="Footer table (Agency)"/>
    <w:basedOn w:val="NormaleTabelle"/>
    <w:semiHidden/>
    <w:rsid w:val="00E51159"/>
    <w:rPr>
      <w:rFonts w:ascii="Verdana" w:hAnsi="Verdana"/>
    </w:rPr>
    <w:tblPr/>
    <w:tcPr>
      <w:shd w:val="clear" w:color="auto" w:fill="auto"/>
      <w:tcMar>
        <w:left w:w="0" w:type="dxa"/>
        <w:right w:w="0" w:type="dxa"/>
      </w:tcMar>
    </w:tcPr>
    <w:tblStylePr w:type="firstRow">
      <w:rPr>
        <w:rFonts w:ascii="@Batang" w:hAnsi="@Batang"/>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Standard"/>
    <w:next w:val="Standard"/>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Textkrper">
    <w:name w:val="Body Text"/>
    <w:basedOn w:val="Standard"/>
    <w:link w:val="TextkrperZchn"/>
    <w:semiHidden/>
    <w:rsid w:val="00E51159"/>
    <w:pPr>
      <w:spacing w:after="140" w:line="280" w:lineRule="atLeast"/>
    </w:pPr>
  </w:style>
  <w:style w:type="paragraph" w:customStyle="1" w:styleId="BodytextAgency">
    <w:name w:val="Body text (Agency)"/>
    <w:basedOn w:val="Standard"/>
    <w:link w:val="BodytextAgencyChar"/>
    <w:qFormat/>
    <w:rsid w:val="007B31C7"/>
    <w:pPr>
      <w:spacing w:after="140" w:line="280" w:lineRule="atLeast"/>
    </w:pPr>
    <w:rPr>
      <w:rFonts w:eastAsia="Verdana" w:cs="Verdana"/>
    </w:rPr>
  </w:style>
  <w:style w:type="numbering" w:customStyle="1" w:styleId="BulletsAgency">
    <w:name w:val="Bullets (Agency)"/>
    <w:basedOn w:val="KeineListe"/>
    <w:rsid w:val="00E51159"/>
    <w:pPr>
      <w:numPr>
        <w:numId w:val="1"/>
      </w:numPr>
    </w:pPr>
  </w:style>
  <w:style w:type="paragraph" w:customStyle="1" w:styleId="DisclaimerAgency">
    <w:name w:val="Disclaimer (Agency)"/>
    <w:basedOn w:val="Standard"/>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Standard"/>
    <w:next w:val="BodytextAgency"/>
    <w:qFormat/>
    <w:rsid w:val="007B31C7"/>
    <w:pPr>
      <w:spacing w:after="640" w:line="360" w:lineRule="atLeast"/>
    </w:pPr>
    <w:rPr>
      <w:rFonts w:eastAsia="Verdana" w:cs="Verdana"/>
      <w:sz w:val="24"/>
      <w:szCs w:val="24"/>
    </w:rPr>
  </w:style>
  <w:style w:type="paragraph" w:customStyle="1" w:styleId="DoctitleAgency">
    <w:name w:val="Doc title (Agency)"/>
    <w:basedOn w:val="Standard"/>
    <w:next w:val="DocsubtitleAgency"/>
    <w:qFormat/>
    <w:rsid w:val="007B31C7"/>
    <w:pPr>
      <w:spacing w:before="720" w:line="360" w:lineRule="atLeast"/>
    </w:pPr>
    <w:rPr>
      <w:rFonts w:eastAsia="Verdana" w:cs="Verdana"/>
      <w:color w:val="003399"/>
      <w:sz w:val="32"/>
      <w:szCs w:val="32"/>
    </w:rPr>
  </w:style>
  <w:style w:type="paragraph" w:customStyle="1" w:styleId="DraftingNotesAgency">
    <w:name w:val="Drafting Notes (Agency)"/>
    <w:basedOn w:val="Standard"/>
    <w:next w:val="BodytextAgency"/>
    <w:qFormat/>
    <w:rsid w:val="007B31C7"/>
    <w:pPr>
      <w:spacing w:after="140" w:line="280" w:lineRule="atLeast"/>
    </w:pPr>
    <w:rPr>
      <w:rFonts w:ascii="Courier New" w:eastAsia="Verdana" w:hAnsi="Courier New"/>
      <w:i/>
      <w:color w:val="339966"/>
      <w:sz w:val="22"/>
    </w:rPr>
  </w:style>
  <w:style w:type="character" w:styleId="Endnotenzeichen">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ntext">
    <w:name w:val="endnote text"/>
    <w:basedOn w:val="Standard"/>
    <w:semiHidden/>
    <w:rsid w:val="00E51159"/>
    <w:rPr>
      <w:rFonts w:eastAsia="Verdana"/>
      <w:sz w:val="15"/>
      <w:szCs w:val="15"/>
    </w:rPr>
  </w:style>
  <w:style w:type="paragraph" w:customStyle="1" w:styleId="EndnotetextAgency">
    <w:name w:val="Endnote text (Agency)"/>
    <w:basedOn w:val="Standard"/>
    <w:semiHidden/>
    <w:rsid w:val="00E51159"/>
    <w:rPr>
      <w:rFonts w:eastAsia="Verdana"/>
      <w:sz w:val="15"/>
    </w:rPr>
  </w:style>
  <w:style w:type="paragraph" w:customStyle="1" w:styleId="FigureAgency">
    <w:name w:val="Figure (Agency)"/>
    <w:basedOn w:val="Standard"/>
    <w:next w:val="BodytextAgency"/>
    <w:semiHidden/>
    <w:rsid w:val="00E51159"/>
    <w:pPr>
      <w:jc w:val="center"/>
    </w:pPr>
  </w:style>
  <w:style w:type="paragraph" w:customStyle="1" w:styleId="FigureheadingAgency">
    <w:name w:val="Figure heading (Agency)"/>
    <w:basedOn w:val="Standard"/>
    <w:next w:val="FigureAgency"/>
    <w:rsid w:val="001856FF"/>
    <w:pPr>
      <w:keepNext/>
      <w:numPr>
        <w:numId w:val="3"/>
      </w:numPr>
      <w:spacing w:before="240" w:after="120"/>
    </w:pPr>
  </w:style>
  <w:style w:type="character" w:styleId="Funotenzeichen">
    <w:name w:val="footnote reference"/>
    <w:uiPriority w:val="99"/>
    <w:semiHidden/>
    <w:rsid w:val="00E51159"/>
    <w:rPr>
      <w:rFonts w:ascii="Verdana" w:hAnsi="Verdana"/>
      <w:vertAlign w:val="superscript"/>
    </w:rPr>
  </w:style>
  <w:style w:type="character" w:customStyle="1" w:styleId="FootnotereferenceAgency">
    <w:name w:val="Footnote reference (Agency)"/>
    <w:rsid w:val="001856FF"/>
    <w:rPr>
      <w:rFonts w:ascii="Verdana" w:hAnsi="Verdana"/>
      <w:color w:val="auto"/>
      <w:vertAlign w:val="superscript"/>
    </w:rPr>
  </w:style>
  <w:style w:type="paragraph" w:styleId="Funotentext">
    <w:name w:val="footnote text"/>
    <w:basedOn w:val="Standard"/>
    <w:link w:val="FunotentextZchn"/>
    <w:uiPriority w:val="99"/>
    <w:semiHidden/>
    <w:rsid w:val="00E51159"/>
    <w:rPr>
      <w:rFonts w:eastAsia="Verdana"/>
      <w:sz w:val="15"/>
      <w:szCs w:val="20"/>
    </w:rPr>
  </w:style>
  <w:style w:type="paragraph" w:customStyle="1" w:styleId="FootnotetextAgency">
    <w:name w:val="Footnote text (Agency)"/>
    <w:basedOn w:val="Standard"/>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Standard"/>
    <w:next w:val="BodytextAgency"/>
    <w:qFormat/>
    <w:rsid w:val="007B31C7"/>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Standard"/>
    <w:next w:val="BodytextAgency"/>
    <w:qFormat/>
    <w:rsid w:val="007B31C7"/>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Standard"/>
    <w:next w:val="BodytextAgency"/>
    <w:qFormat/>
    <w:rsid w:val="007B31C7"/>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B31C7"/>
    <w:pPr>
      <w:numPr>
        <w:ilvl w:val="3"/>
      </w:numPr>
      <w:outlineLvl w:val="3"/>
    </w:pPr>
    <w:rPr>
      <w:i/>
      <w:sz w:val="18"/>
      <w:szCs w:val="18"/>
    </w:rPr>
  </w:style>
  <w:style w:type="paragraph" w:customStyle="1" w:styleId="Heading5Agency">
    <w:name w:val="Heading 5 (Agency)"/>
    <w:basedOn w:val="Heading4Agency"/>
    <w:next w:val="BodytextAgency"/>
    <w:qFormat/>
    <w:rsid w:val="007B31C7"/>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Standard"/>
    <w:next w:val="BodytextAgency"/>
    <w:qFormat/>
    <w:rsid w:val="007B31C7"/>
    <w:pPr>
      <w:keepNext/>
      <w:spacing w:before="280" w:after="220"/>
      <w:outlineLvl w:val="0"/>
    </w:pPr>
    <w:rPr>
      <w:rFonts w:eastAsia="Verdana" w:cs="Arial"/>
      <w:b/>
      <w:bCs/>
      <w:kern w:val="32"/>
      <w:sz w:val="27"/>
      <w:szCs w:val="27"/>
    </w:rPr>
  </w:style>
  <w:style w:type="paragraph" w:customStyle="1" w:styleId="No-numheading2Agency">
    <w:name w:val="No-num heading 2 (Agency)"/>
    <w:basedOn w:val="Standard"/>
    <w:next w:val="BodytextAgency"/>
    <w:qFormat/>
    <w:rsid w:val="007B31C7"/>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B31C7"/>
    <w:pPr>
      <w:numPr>
        <w:ilvl w:val="0"/>
        <w:numId w:val="0"/>
      </w:numPr>
    </w:pPr>
  </w:style>
  <w:style w:type="paragraph" w:customStyle="1" w:styleId="No-numheading4Agency">
    <w:name w:val="No-num heading 4 (Agency)"/>
    <w:basedOn w:val="Heading4Agency"/>
    <w:next w:val="BodytextAgency"/>
    <w:qFormat/>
    <w:rsid w:val="007B31C7"/>
    <w:pPr>
      <w:numPr>
        <w:ilvl w:val="0"/>
        <w:numId w:val="0"/>
      </w:numPr>
    </w:pPr>
  </w:style>
  <w:style w:type="paragraph" w:customStyle="1" w:styleId="No-numheading5Agency">
    <w:name w:val="No-num heading 5 (Agency)"/>
    <w:basedOn w:val="Heading5Agency"/>
    <w:next w:val="BodytextAgency"/>
    <w:qFormat/>
    <w:rsid w:val="007B31C7"/>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7B31C7"/>
    <w:rPr>
      <w:rFonts w:ascii="Verdana" w:eastAsia="Verdana" w:hAnsi="Verdana" w:cs="Verdana"/>
      <w:sz w:val="18"/>
      <w:szCs w:val="18"/>
      <w:lang w:val="en-GB" w:eastAsia="en-GB"/>
    </w:rPr>
  </w:style>
  <w:style w:type="paragraph" w:customStyle="1" w:styleId="No-TOCheadingAgency">
    <w:name w:val="No-TOC heading (Agency)"/>
    <w:basedOn w:val="Standard"/>
    <w:next w:val="BodytextAgency"/>
    <w:qFormat/>
    <w:rsid w:val="007B31C7"/>
    <w:pPr>
      <w:keepNext/>
      <w:spacing w:before="280" w:after="220"/>
    </w:pPr>
    <w:rPr>
      <w:rFonts w:eastAsia="Times New Roman" w:cs="Arial"/>
      <w:b/>
      <w:kern w:val="32"/>
      <w:sz w:val="27"/>
      <w:szCs w:val="27"/>
    </w:rPr>
  </w:style>
  <w:style w:type="numbering" w:customStyle="1" w:styleId="NumberlistAgency">
    <w:name w:val="Number list (Agency)"/>
    <w:basedOn w:val="KeineListe"/>
    <w:rsid w:val="00E51159"/>
    <w:pPr>
      <w:numPr>
        <w:numId w:val="2"/>
      </w:numPr>
    </w:pPr>
  </w:style>
  <w:style w:type="paragraph" w:customStyle="1" w:styleId="RefAgency">
    <w:name w:val="Ref. (Agency)"/>
    <w:basedOn w:val="Standard"/>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NormaleTabelle"/>
    <w:semiHidden/>
    <w:rsid w:val="007859AF"/>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Segoe Print" w:hAnsi="Segoe Prin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NormaleTabelle"/>
    <w:semiHidden/>
    <w:rsid w:val="00E51159"/>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Standard"/>
    <w:next w:val="BodytextAgency"/>
    <w:rsid w:val="001856FF"/>
    <w:pPr>
      <w:keepNext/>
      <w:numPr>
        <w:numId w:val="4"/>
      </w:numPr>
      <w:spacing w:before="240" w:after="120"/>
    </w:pPr>
  </w:style>
  <w:style w:type="paragraph" w:customStyle="1" w:styleId="TableheadingrowsAgency">
    <w:name w:val="Table heading rows (Agency)"/>
    <w:basedOn w:val="BodytextAgency"/>
    <w:rsid w:val="001856FF"/>
    <w:pPr>
      <w:keepNext/>
    </w:pPr>
    <w:rPr>
      <w:rFonts w:eastAsia="Times New Roman"/>
      <w:b/>
    </w:rPr>
  </w:style>
  <w:style w:type="paragraph" w:customStyle="1" w:styleId="TabletextrowsAgency">
    <w:name w:val="Table text rows (Agency)"/>
    <w:basedOn w:val="NormalAgency"/>
    <w:rsid w:val="00E62AD7"/>
    <w:pPr>
      <w:spacing w:line="280" w:lineRule="exact"/>
    </w:pPr>
    <w:rPr>
      <w:rFonts w:eastAsia="Times New Roman"/>
    </w:rPr>
  </w:style>
  <w:style w:type="paragraph" w:customStyle="1" w:styleId="TableFigurenoteAgency">
    <w:name w:val="Table/Figure note (Agency)"/>
    <w:basedOn w:val="BodytextAgency"/>
    <w:next w:val="BodytextAgency"/>
    <w:rsid w:val="001856FF"/>
    <w:pPr>
      <w:spacing w:before="60" w:after="240" w:line="240" w:lineRule="auto"/>
    </w:pPr>
    <w:rPr>
      <w:sz w:val="16"/>
      <w:szCs w:val="16"/>
    </w:rPr>
  </w:style>
  <w:style w:type="paragraph" w:styleId="Verzeichnis1">
    <w:name w:val="toc 1"/>
    <w:basedOn w:val="Standard"/>
    <w:next w:val="BodytextAgency"/>
    <w:uiPriority w:val="39"/>
    <w:qFormat/>
    <w:rsid w:val="00784282"/>
    <w:pPr>
      <w:keepNext/>
      <w:tabs>
        <w:tab w:val="right" w:leader="dot" w:pos="9401"/>
      </w:tabs>
      <w:spacing w:before="140" w:after="57" w:line="240" w:lineRule="atLeast"/>
    </w:pPr>
    <w:rPr>
      <w:rFonts w:eastAsia="Verdana"/>
      <w:b/>
      <w:noProof/>
      <w:sz w:val="22"/>
      <w:szCs w:val="22"/>
    </w:rPr>
  </w:style>
  <w:style w:type="paragraph" w:styleId="Verzeichnis2">
    <w:name w:val="toc 2"/>
    <w:basedOn w:val="Standard"/>
    <w:next w:val="BodytextAgency"/>
    <w:uiPriority w:val="39"/>
    <w:qFormat/>
    <w:rsid w:val="00E51159"/>
    <w:pPr>
      <w:tabs>
        <w:tab w:val="right" w:leader="dot" w:pos="9401"/>
      </w:tabs>
      <w:spacing w:after="57" w:line="240" w:lineRule="atLeast"/>
    </w:pPr>
    <w:rPr>
      <w:rFonts w:eastAsia="Verdana"/>
      <w:noProof/>
      <w:sz w:val="20"/>
    </w:rPr>
  </w:style>
  <w:style w:type="paragraph" w:styleId="Verzeichnis3">
    <w:name w:val="toc 3"/>
    <w:basedOn w:val="Standard"/>
    <w:next w:val="BodytextAgency"/>
    <w:uiPriority w:val="39"/>
    <w:qFormat/>
    <w:rsid w:val="00E51159"/>
    <w:pPr>
      <w:tabs>
        <w:tab w:val="right" w:leader="dot" w:pos="9401"/>
      </w:tabs>
      <w:spacing w:after="57" w:line="240" w:lineRule="atLeast"/>
    </w:pPr>
    <w:rPr>
      <w:rFonts w:eastAsia="Verdana"/>
      <w:noProof/>
      <w:sz w:val="20"/>
    </w:rPr>
  </w:style>
  <w:style w:type="paragraph" w:styleId="Verzeichnis4">
    <w:name w:val="toc 4"/>
    <w:basedOn w:val="Standard"/>
    <w:next w:val="BodytextAgency"/>
    <w:uiPriority w:val="39"/>
    <w:rsid w:val="00E51159"/>
    <w:pPr>
      <w:tabs>
        <w:tab w:val="right" w:leader="dot" w:pos="9401"/>
      </w:tabs>
      <w:spacing w:after="57" w:line="240" w:lineRule="atLeast"/>
    </w:pPr>
    <w:rPr>
      <w:noProof/>
      <w:sz w:val="20"/>
    </w:rPr>
  </w:style>
  <w:style w:type="paragraph" w:styleId="Verzeichnis5">
    <w:name w:val="toc 5"/>
    <w:basedOn w:val="Standard"/>
    <w:next w:val="BodytextAgency"/>
    <w:semiHidden/>
    <w:rsid w:val="00E51159"/>
    <w:pPr>
      <w:tabs>
        <w:tab w:val="right" w:leader="dot" w:pos="9401"/>
      </w:tabs>
      <w:spacing w:after="57" w:line="240" w:lineRule="atLeast"/>
    </w:pPr>
    <w:rPr>
      <w:noProof/>
      <w:sz w:val="20"/>
    </w:rPr>
  </w:style>
  <w:style w:type="paragraph" w:styleId="Verzeichnis6">
    <w:name w:val="toc 6"/>
    <w:basedOn w:val="Standard"/>
    <w:next w:val="BodytextAgency"/>
    <w:semiHidden/>
    <w:rsid w:val="00E51159"/>
    <w:pPr>
      <w:spacing w:after="57" w:line="240" w:lineRule="exact"/>
    </w:pPr>
    <w:rPr>
      <w:rFonts w:eastAsia="Times New Roman"/>
    </w:rPr>
  </w:style>
  <w:style w:type="paragraph" w:styleId="Verzeichnis7">
    <w:name w:val="toc 7"/>
    <w:basedOn w:val="Standard"/>
    <w:next w:val="BodytextAgency"/>
    <w:semiHidden/>
    <w:rsid w:val="00E51159"/>
    <w:pPr>
      <w:spacing w:after="57" w:line="240" w:lineRule="exact"/>
    </w:pPr>
    <w:rPr>
      <w:rFonts w:eastAsia="Times New Roman"/>
    </w:rPr>
  </w:style>
  <w:style w:type="paragraph" w:styleId="Verzeichnis8">
    <w:name w:val="toc 8"/>
    <w:basedOn w:val="Standard"/>
    <w:next w:val="BodytextAgency"/>
    <w:semiHidden/>
    <w:rsid w:val="00E51159"/>
    <w:pPr>
      <w:spacing w:after="57" w:line="240" w:lineRule="exact"/>
    </w:pPr>
    <w:rPr>
      <w:rFonts w:eastAsia="Times New Roman"/>
    </w:rPr>
  </w:style>
  <w:style w:type="paragraph" w:styleId="Verzeichnis9">
    <w:name w:val="toc 9"/>
    <w:basedOn w:val="Standard"/>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B31C7"/>
    <w:rPr>
      <w:rFonts w:ascii="Verdana" w:eastAsia="Times New Roman" w:hAnsi="Verdana"/>
      <w:color w:val="FF0000"/>
      <w:sz w:val="17"/>
      <w:szCs w:val="17"/>
      <w:lang w:val="en-GB" w:eastAsia="en-GB"/>
    </w:rPr>
  </w:style>
  <w:style w:type="paragraph" w:styleId="Kopfzeile">
    <w:name w:val="header"/>
    <w:basedOn w:val="Standard"/>
    <w:link w:val="KopfzeileZchn"/>
    <w:uiPriority w:val="99"/>
    <w:rsid w:val="00B636AF"/>
    <w:pPr>
      <w:tabs>
        <w:tab w:val="center" w:pos="4320"/>
        <w:tab w:val="right" w:pos="8640"/>
      </w:tabs>
    </w:pPr>
  </w:style>
  <w:style w:type="paragraph" w:styleId="Sprechblasentext">
    <w:name w:val="Balloon Text"/>
    <w:basedOn w:val="Standard"/>
    <w:link w:val="SprechblasentextZchn"/>
    <w:uiPriority w:val="99"/>
    <w:semiHidden/>
    <w:rsid w:val="00B62CFA"/>
    <w:rPr>
      <w:rFonts w:ascii="Tahoma" w:hAnsi="Tahoma" w:cs="Tahoma"/>
      <w:sz w:val="16"/>
      <w:szCs w:val="16"/>
    </w:rPr>
  </w:style>
  <w:style w:type="character" w:customStyle="1" w:styleId="SprechblasentextZchn">
    <w:name w:val="Sprechblasentext Zchn"/>
    <w:link w:val="Sprechblasentext"/>
    <w:uiPriority w:val="99"/>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rsid w:val="00E83778"/>
    <w:pPr>
      <w:pBdr>
        <w:bottom w:val="single" w:sz="18" w:space="1" w:color="003399"/>
      </w:pBdr>
    </w:pPr>
    <w:rPr>
      <w:b w:val="0"/>
      <w:color w:val="000000"/>
      <w:sz w:val="20"/>
      <w:szCs w:val="18"/>
    </w:rPr>
  </w:style>
  <w:style w:type="character" w:customStyle="1" w:styleId="TextkrperZchn">
    <w:name w:val="Textkörper Zchn"/>
    <w:basedOn w:val="Absatz-Standardschriftart"/>
    <w:link w:val="Textkrper"/>
    <w:semiHidden/>
    <w:rsid w:val="001715B2"/>
  </w:style>
  <w:style w:type="paragraph" w:customStyle="1" w:styleId="Default">
    <w:name w:val="Default"/>
    <w:rsid w:val="00AD4CBC"/>
    <w:pPr>
      <w:autoSpaceDE w:val="0"/>
      <w:autoSpaceDN w:val="0"/>
      <w:adjustRightInd w:val="0"/>
    </w:pPr>
    <w:rPr>
      <w:rFonts w:ascii="Verdana" w:eastAsia="Calibri" w:hAnsi="Verdana" w:cs="Verdana"/>
      <w:color w:val="000000"/>
      <w:sz w:val="24"/>
      <w:szCs w:val="24"/>
    </w:rPr>
  </w:style>
  <w:style w:type="character" w:customStyle="1" w:styleId="FunotentextZchn">
    <w:name w:val="Fußnotentext Zchn"/>
    <w:link w:val="Funotentext"/>
    <w:uiPriority w:val="99"/>
    <w:semiHidden/>
    <w:rsid w:val="00AD4CBC"/>
    <w:rPr>
      <w:rFonts w:ascii="Verdana" w:eastAsia="Verdana" w:hAnsi="Verdana"/>
      <w:sz w:val="15"/>
      <w:lang w:val="en-GB" w:eastAsia="en-GB"/>
    </w:rPr>
  </w:style>
  <w:style w:type="character" w:customStyle="1" w:styleId="jrnl">
    <w:name w:val="jrnl"/>
    <w:rsid w:val="00AD4CBC"/>
  </w:style>
  <w:style w:type="character" w:customStyle="1" w:styleId="KopfzeileZchn">
    <w:name w:val="Kopfzeile Zchn"/>
    <w:link w:val="Kopfzeile"/>
    <w:uiPriority w:val="99"/>
    <w:rsid w:val="00AD4CBC"/>
    <w:rPr>
      <w:rFonts w:ascii="Verdana" w:hAnsi="Verdana"/>
      <w:sz w:val="18"/>
      <w:szCs w:val="18"/>
      <w:lang w:val="en-GB" w:eastAsia="en-GB"/>
    </w:rPr>
  </w:style>
  <w:style w:type="character" w:customStyle="1" w:styleId="FuzeileZchn">
    <w:name w:val="Fußzeile Zchn"/>
    <w:link w:val="Fuzeile"/>
    <w:uiPriority w:val="99"/>
    <w:rsid w:val="00AD4CBC"/>
    <w:rPr>
      <w:rFonts w:ascii="Arial" w:eastAsia="Times New Roman" w:hAnsi="Arial"/>
      <w:sz w:val="16"/>
      <w:lang w:val="en-GB"/>
    </w:rPr>
  </w:style>
  <w:style w:type="paragraph" w:styleId="Listenabsatz">
    <w:name w:val="List Paragraph"/>
    <w:basedOn w:val="Standard"/>
    <w:uiPriority w:val="34"/>
    <w:qFormat/>
    <w:rsid w:val="00AD4CBC"/>
    <w:pPr>
      <w:spacing w:after="200" w:line="276" w:lineRule="auto"/>
      <w:ind w:left="720"/>
      <w:contextualSpacing/>
    </w:pPr>
    <w:rPr>
      <w:rFonts w:ascii="Calibri" w:eastAsia="Calibri" w:hAnsi="Calibri"/>
      <w:sz w:val="22"/>
      <w:szCs w:val="22"/>
      <w:lang w:eastAsia="en-US"/>
    </w:rPr>
  </w:style>
  <w:style w:type="character" w:customStyle="1" w:styleId="BodytextAgencyChar">
    <w:name w:val="Body text (Agency) Char"/>
    <w:link w:val="BodytextAgency"/>
    <w:rsid w:val="00AD4CBC"/>
    <w:rPr>
      <w:rFonts w:ascii="Verdana" w:eastAsia="Verdana" w:hAnsi="Verdana" w:cs="Verdana"/>
      <w:sz w:val="18"/>
      <w:szCs w:val="18"/>
      <w:lang w:val="en-GB" w:eastAsia="en-GB"/>
    </w:rPr>
  </w:style>
  <w:style w:type="character" w:customStyle="1" w:styleId="berschrift3Zchn">
    <w:name w:val="Überschrift 3 Zchn"/>
    <w:link w:val="berschrift3"/>
    <w:uiPriority w:val="9"/>
    <w:rsid w:val="00AD4CBC"/>
    <w:rPr>
      <w:rFonts w:ascii="Cambria" w:eastAsia="Times New Roman" w:hAnsi="Cambria"/>
      <w:b/>
      <w:bCs/>
      <w:sz w:val="26"/>
      <w:szCs w:val="26"/>
      <w:lang w:val="en-GB" w:eastAsia="zh-CN"/>
    </w:rPr>
  </w:style>
  <w:style w:type="character" w:customStyle="1" w:styleId="glossary-term">
    <w:name w:val="glossary-term"/>
    <w:rsid w:val="00AD4CBC"/>
  </w:style>
  <w:style w:type="character" w:customStyle="1" w:styleId="berschrift1Zchn">
    <w:name w:val="Überschrift 1 Zchn"/>
    <w:link w:val="berschrift1"/>
    <w:uiPriority w:val="9"/>
    <w:rsid w:val="00AD4CBC"/>
    <w:rPr>
      <w:rFonts w:ascii="Verdana" w:eastAsia="Verdana" w:hAnsi="Verdana" w:cs="Arial"/>
      <w:b/>
      <w:bCs/>
      <w:noProof/>
      <w:kern w:val="32"/>
      <w:sz w:val="27"/>
      <w:szCs w:val="27"/>
      <w:lang w:val="en-GB" w:eastAsia="en-GB"/>
    </w:rPr>
  </w:style>
  <w:style w:type="paragraph" w:styleId="Datum">
    <w:name w:val="Date"/>
    <w:basedOn w:val="Standard"/>
    <w:next w:val="Standard"/>
    <w:semiHidden/>
    <w:rsid w:val="00E51159"/>
  </w:style>
  <w:style w:type="paragraph" w:styleId="Dokumentstruktur">
    <w:name w:val="Document Map"/>
    <w:basedOn w:val="Standard"/>
    <w:semiHidden/>
    <w:rsid w:val="00E51159"/>
    <w:pPr>
      <w:shd w:val="clear" w:color="auto" w:fill="000080"/>
    </w:pPr>
    <w:rPr>
      <w:rFonts w:ascii="Tahoma" w:hAnsi="Tahoma" w:cs="Tahoma"/>
      <w:sz w:val="20"/>
      <w:szCs w:val="20"/>
    </w:rPr>
  </w:style>
  <w:style w:type="paragraph" w:styleId="E-Mail-Signatur">
    <w:name w:val="E-mail Signature"/>
    <w:basedOn w:val="Standard"/>
    <w:semiHidden/>
    <w:rsid w:val="00E51159"/>
  </w:style>
  <w:style w:type="character" w:styleId="Hervorhebung">
    <w:name w:val="Emphasis"/>
    <w:uiPriority w:val="20"/>
    <w:qFormat/>
    <w:rsid w:val="001856FF"/>
    <w:rPr>
      <w:i/>
      <w:iCs/>
    </w:rPr>
  </w:style>
  <w:style w:type="paragraph" w:styleId="Umschlagadresse">
    <w:name w:val="envelope address"/>
    <w:basedOn w:val="Standard"/>
    <w:semiHidden/>
    <w:rsid w:val="00E51159"/>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semiHidden/>
    <w:rsid w:val="00E51159"/>
    <w:rPr>
      <w:rFonts w:ascii="Arial" w:hAnsi="Arial" w:cs="Arial"/>
      <w:sz w:val="20"/>
      <w:szCs w:val="20"/>
    </w:rPr>
  </w:style>
  <w:style w:type="character" w:styleId="BesuchterLink">
    <w:name w:val="FollowedHyperlink"/>
    <w:uiPriority w:val="99"/>
    <w:semiHidden/>
    <w:rsid w:val="00E51159"/>
    <w:rPr>
      <w:color w:val="800080"/>
      <w:u w:val="single"/>
    </w:rPr>
  </w:style>
  <w:style w:type="character" w:customStyle="1" w:styleId="current-selection">
    <w:name w:val="current-selection"/>
    <w:basedOn w:val="Absatz-Standardschriftart"/>
    <w:rsid w:val="002015AB"/>
  </w:style>
  <w:style w:type="character" w:customStyle="1" w:styleId="a">
    <w:name w:val="_"/>
    <w:basedOn w:val="Absatz-Standardschriftart"/>
    <w:rsid w:val="002015AB"/>
  </w:style>
  <w:style w:type="character" w:styleId="Hyperlink">
    <w:name w:val="Hyperlink"/>
    <w:uiPriority w:val="99"/>
    <w:rsid w:val="00E51159"/>
    <w:rPr>
      <w:color w:val="0000FF"/>
      <w:u w:val="single"/>
    </w:rPr>
  </w:style>
  <w:style w:type="character" w:styleId="Zeilennummer">
    <w:name w:val="line number"/>
    <w:basedOn w:val="Absatz-Standardschriftart"/>
    <w:semiHidden/>
    <w:rsid w:val="00E51159"/>
  </w:style>
  <w:style w:type="paragraph" w:styleId="Mak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val="en-GB" w:eastAsia="zh-CN"/>
    </w:rPr>
  </w:style>
  <w:style w:type="paragraph" w:styleId="StandardWeb">
    <w:name w:val="Normal (Web)"/>
    <w:basedOn w:val="Standard"/>
    <w:uiPriority w:val="99"/>
    <w:rsid w:val="00E51159"/>
    <w:rPr>
      <w:rFonts w:ascii="Times New Roman" w:hAnsi="Times New Roman"/>
      <w:sz w:val="24"/>
      <w:szCs w:val="24"/>
    </w:rPr>
  </w:style>
  <w:style w:type="paragraph" w:styleId="NurText">
    <w:name w:val="Plain Text"/>
    <w:basedOn w:val="Standard"/>
    <w:semiHidden/>
    <w:rsid w:val="00E51159"/>
    <w:rPr>
      <w:rFonts w:ascii="Courier New" w:hAnsi="Courier New" w:cs="Courier New"/>
      <w:sz w:val="20"/>
      <w:szCs w:val="20"/>
    </w:rPr>
  </w:style>
  <w:style w:type="paragraph" w:styleId="Anrede">
    <w:name w:val="Salutation"/>
    <w:basedOn w:val="Standard"/>
    <w:next w:val="Standard"/>
    <w:semiHidden/>
    <w:rsid w:val="00E51159"/>
  </w:style>
  <w:style w:type="character" w:styleId="Fett">
    <w:name w:val="Strong"/>
    <w:uiPriority w:val="22"/>
    <w:qFormat/>
    <w:rsid w:val="001856FF"/>
    <w:rPr>
      <w:b/>
      <w:bCs/>
    </w:rPr>
  </w:style>
  <w:style w:type="table" w:styleId="Tabellenraster">
    <w:name w:val="Table Grid"/>
    <w:basedOn w:val="NormaleTabelle"/>
    <w:uiPriority w:val="59"/>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htsgrundlagenverzeichnis">
    <w:name w:val="table of authorities"/>
    <w:basedOn w:val="Standard"/>
    <w:next w:val="Standard"/>
    <w:semiHidden/>
    <w:rsid w:val="00E51159"/>
    <w:pPr>
      <w:ind w:left="180" w:hanging="180"/>
    </w:pPr>
  </w:style>
  <w:style w:type="paragraph" w:styleId="Abbildungsverzeichnis">
    <w:name w:val="table of figures"/>
    <w:basedOn w:val="Standard"/>
    <w:next w:val="Standard"/>
    <w:semiHidden/>
    <w:rsid w:val="00E51159"/>
  </w:style>
  <w:style w:type="paragraph" w:styleId="RGV-berschrift">
    <w:name w:val="toa heading"/>
    <w:basedOn w:val="Standard"/>
    <w:next w:val="Standard"/>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B31C7"/>
    <w:pPr>
      <w:keepNext/>
      <w:pBdr>
        <w:bottom w:val="single" w:sz="4" w:space="1" w:color="auto"/>
      </w:pBdr>
      <w:spacing w:before="567"/>
    </w:pPr>
    <w:rPr>
      <w:rFonts w:ascii="Verdana" w:eastAsia="Verdana" w:hAnsi="Verdana" w:cs="Verdana"/>
      <w:b/>
      <w:color w:val="003399"/>
      <w:sz w:val="18"/>
      <w:szCs w:val="18"/>
      <w:lang w:val="en-GB" w:eastAsia="en-GB"/>
    </w:rPr>
  </w:style>
  <w:style w:type="paragraph" w:styleId="Inhaltsverzeichnisberschrift">
    <w:name w:val="TOC Heading"/>
    <w:basedOn w:val="berschrift1"/>
    <w:next w:val="Standard"/>
    <w:uiPriority w:val="39"/>
    <w:semiHidden/>
    <w:unhideWhenUsed/>
    <w:qFormat/>
    <w:rsid w:val="009B7C3C"/>
    <w:pPr>
      <w:keepLines/>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en-US" w:eastAsia="ja-JP"/>
    </w:rPr>
  </w:style>
  <w:style w:type="character" w:styleId="Kommentarzeichen">
    <w:name w:val="annotation reference"/>
    <w:basedOn w:val="Absatz-Standardschriftart"/>
    <w:uiPriority w:val="99"/>
    <w:semiHidden/>
    <w:rsid w:val="007F3CF5"/>
    <w:rPr>
      <w:sz w:val="16"/>
      <w:szCs w:val="16"/>
    </w:rPr>
  </w:style>
  <w:style w:type="paragraph" w:styleId="Kommentartext">
    <w:name w:val="annotation text"/>
    <w:basedOn w:val="Standard"/>
    <w:link w:val="KommentartextZchn"/>
    <w:uiPriority w:val="99"/>
    <w:semiHidden/>
    <w:rsid w:val="007F3CF5"/>
    <w:rPr>
      <w:sz w:val="20"/>
      <w:szCs w:val="20"/>
    </w:rPr>
  </w:style>
  <w:style w:type="character" w:customStyle="1" w:styleId="KommentartextZchn">
    <w:name w:val="Kommentartext Zchn"/>
    <w:basedOn w:val="Absatz-Standardschriftart"/>
    <w:link w:val="Kommentartext"/>
    <w:uiPriority w:val="99"/>
    <w:semiHidden/>
    <w:rsid w:val="007F3CF5"/>
    <w:rPr>
      <w:rFonts w:ascii="Verdana" w:hAnsi="Verdana"/>
      <w:lang w:val="en-GB" w:eastAsia="en-GB"/>
    </w:rPr>
  </w:style>
  <w:style w:type="paragraph" w:styleId="Kommentarthema">
    <w:name w:val="annotation subject"/>
    <w:basedOn w:val="Kommentartext"/>
    <w:next w:val="Kommentartext"/>
    <w:link w:val="KommentarthemaZchn"/>
    <w:semiHidden/>
    <w:rsid w:val="007F3CF5"/>
    <w:rPr>
      <w:b/>
      <w:bCs/>
    </w:rPr>
  </w:style>
  <w:style w:type="character" w:customStyle="1" w:styleId="KommentarthemaZchn">
    <w:name w:val="Kommentarthema Zchn"/>
    <w:basedOn w:val="KommentartextZchn"/>
    <w:link w:val="Kommentarthema"/>
    <w:semiHidden/>
    <w:rsid w:val="007F3CF5"/>
    <w:rPr>
      <w:rFonts w:ascii="Verdana" w:hAnsi="Verdana"/>
      <w:b/>
      <w:bCs/>
      <w:lang w:val="en-GB" w:eastAsia="en-GB"/>
    </w:rPr>
  </w:style>
  <w:style w:type="paragraph" w:styleId="Literaturverzeichnis">
    <w:name w:val="Bibliography"/>
    <w:basedOn w:val="Standard"/>
    <w:next w:val="Standard"/>
    <w:uiPriority w:val="37"/>
    <w:semiHidden/>
    <w:rsid w:val="008F7762"/>
  </w:style>
  <w:style w:type="paragraph" w:customStyle="1" w:styleId="CM1">
    <w:name w:val="CM1"/>
    <w:basedOn w:val="Default"/>
    <w:next w:val="Default"/>
    <w:uiPriority w:val="99"/>
    <w:rsid w:val="00CC1D7C"/>
    <w:rPr>
      <w:rFonts w:ascii="EUAlbertina" w:eastAsia="SimSun" w:hAnsi="EUAlbertina" w:cs="Times New Roman"/>
      <w:color w:val="auto"/>
      <w:lang w:val="en-GB"/>
    </w:rPr>
  </w:style>
  <w:style w:type="paragraph" w:customStyle="1" w:styleId="CM3">
    <w:name w:val="CM3"/>
    <w:basedOn w:val="Default"/>
    <w:next w:val="Default"/>
    <w:uiPriority w:val="99"/>
    <w:rsid w:val="00CC1D7C"/>
    <w:rPr>
      <w:rFonts w:ascii="EUAlbertina" w:eastAsia="SimSun" w:hAnsi="EUAlbertina" w:cs="Times New Roman"/>
      <w:color w:val="auto"/>
      <w:lang w:val="en-GB"/>
    </w:rPr>
  </w:style>
  <w:style w:type="paragraph" w:styleId="berarbeitung">
    <w:name w:val="Revision"/>
    <w:hidden/>
    <w:uiPriority w:val="99"/>
    <w:semiHidden/>
    <w:rsid w:val="00D65344"/>
    <w:rPr>
      <w:rFonts w:ascii="Verdana" w:hAnsi="Verdana"/>
      <w:sz w:val="18"/>
      <w:szCs w:val="18"/>
      <w:lang w:val="en-GB" w:eastAsia="en-GB"/>
    </w:rPr>
  </w:style>
  <w:style w:type="paragraph" w:customStyle="1" w:styleId="default0">
    <w:name w:val="default"/>
    <w:basedOn w:val="Standard"/>
    <w:rsid w:val="00C56C5A"/>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documents/other/form-submission-comments_en.doc" TargetMode="External"/><Relationship Id="rId13" Type="http://schemas.openxmlformats.org/officeDocument/2006/relationships/hyperlink" Target="http://www.orphadata.org/cgi-bin/inc/product1.inc.php" TargetMode="External"/><Relationship Id="rId18" Type="http://schemas.openxmlformats.org/officeDocument/2006/relationships/hyperlink" Target="http://www.hgv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stri.ich.org/e2br3/index.htm" TargetMode="External"/><Relationship Id="rId7" Type="http://schemas.openxmlformats.org/officeDocument/2006/relationships/endnotes" Target="endnotes.xml"/><Relationship Id="rId12" Type="http://schemas.openxmlformats.org/officeDocument/2006/relationships/hyperlink" Target="https://www.meddra.org/" TargetMode="External"/><Relationship Id="rId17" Type="http://schemas.openxmlformats.org/officeDocument/2006/relationships/hyperlink" Target="https://www.meddr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nitsofmeasure.org/ucum.html" TargetMode="External"/><Relationship Id="rId20" Type="http://schemas.openxmlformats.org/officeDocument/2006/relationships/hyperlink" Target="http://www.who.int/classifications/icf/whodasii/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s.iarc.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qm.eu/en/standard-terms-databas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who.int/classifications/icd/en/" TargetMode="External"/><Relationship Id="rId19" Type="http://schemas.openxmlformats.org/officeDocument/2006/relationships/hyperlink" Target="https://www.genenames.org/" TargetMode="External"/><Relationship Id="rId4" Type="http://schemas.openxmlformats.org/officeDocument/2006/relationships/settings" Target="settings.xml"/><Relationship Id="rId9" Type="http://schemas.openxmlformats.org/officeDocument/2006/relationships/hyperlink" Target="mailto:EMAregistries@ema.europa.eu" TargetMode="External"/><Relationship Id="rId14" Type="http://schemas.openxmlformats.org/officeDocument/2006/relationships/hyperlink" Target="https://www.meddra.org/"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940E-48B3-E945-882D-F2BB459B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28230</Words>
  <Characters>177851</Characters>
  <Application>Microsoft Office Word</Application>
  <DocSecurity>0</DocSecurity>
  <Lines>1482</Lines>
  <Paragraphs>411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Discussion paper-registries_TaskForce_EMA_Nov2018</vt:lpstr>
      <vt:lpstr>Reflection_paper-registries_TaskForce_Sept2018_Final for Committees consultation</vt:lpstr>
    </vt:vector>
  </TitlesOfParts>
  <Company>European Medicines Agency</Company>
  <LinksUpToDate>false</LinksUpToDate>
  <CharactersWithSpaces>205670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paper-registries_TaskForce_EMA_Nov2018</dc:title>
  <dc:creator>European Medicines Agency</dc:creator>
  <cp:keywords>Discussion paper-registries_TaskForce_EMA_Nov2018</cp:keywords>
  <dc:description>Template version: 8 August 2014</dc:description>
  <cp:lastModifiedBy>Microsoft Office User</cp:lastModifiedBy>
  <cp:revision>2</cp:revision>
  <cp:lastPrinted>2018-10-29T09:18:00Z</cp:lastPrinted>
  <dcterms:created xsi:type="dcterms:W3CDTF">2018-12-10T14:28:00Z</dcterms:created>
  <dcterms:modified xsi:type="dcterms:W3CDTF">2018-12-10T14:28:00Z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03/11/2018 18:42:57</vt:lpwstr>
  </property>
  <property fmtid="{D5CDD505-2E9C-101B-9397-08002B2CF9AE}" pid="5" name="DM_Creator_Name">
    <vt:lpwstr>Kurz Xavier</vt:lpwstr>
  </property>
  <property fmtid="{D5CDD505-2E9C-101B-9397-08002B2CF9AE}" pid="6" name="DM_DocRefId">
    <vt:lpwstr>EMA/763513/2018</vt:lpwstr>
  </property>
  <property fmtid="{D5CDD505-2E9C-101B-9397-08002B2CF9AE}" pid="7" name="DM_emea_doc_ref_id">
    <vt:lpwstr>EMA/763513/2018</vt:lpwstr>
  </property>
  <property fmtid="{D5CDD505-2E9C-101B-9397-08002B2CF9AE}" pid="8" name="DM_emea_filing_code">
    <vt:lpwstr> </vt:lpwstr>
  </property>
  <property fmtid="{D5CDD505-2E9C-101B-9397-08002B2CF9AE}" pid="9" name="DM_Keywords">
    <vt:lpwstr/>
  </property>
  <property fmtid="{D5CDD505-2E9C-101B-9397-08002B2CF9AE}" pid="10" name="DM_Language">
    <vt:lpwstr/>
  </property>
  <property fmtid="{D5CDD505-2E9C-101B-9397-08002B2CF9AE}" pid="11" name="DM_Modifer_Name">
    <vt:lpwstr>Kurz Xavier</vt:lpwstr>
  </property>
  <property fmtid="{D5CDD505-2E9C-101B-9397-08002B2CF9AE}" pid="12" name="DM_Modified_Date">
    <vt:lpwstr>03/11/2018 18:42:57</vt:lpwstr>
  </property>
  <property fmtid="{D5CDD505-2E9C-101B-9397-08002B2CF9AE}" pid="13" name="DM_Modifier_Name">
    <vt:lpwstr>Kurz Xavier</vt:lpwstr>
  </property>
  <property fmtid="{D5CDD505-2E9C-101B-9397-08002B2CF9AE}" pid="14" name="DM_Modify_Date">
    <vt:lpwstr>03/11/2018 18:42:57</vt:lpwstr>
  </property>
  <property fmtid="{D5CDD505-2E9C-101B-9397-08002B2CF9AE}" pid="15" name="DM_Name">
    <vt:lpwstr>Discussion paper-registries_TaskForce_EMA_Nov2018</vt:lpwstr>
  </property>
  <property fmtid="{D5CDD505-2E9C-101B-9397-08002B2CF9AE}" pid="16" name="DM_Path">
    <vt:lpwstr>/14. Working areas/14.03 P-Division/03. P-PE Activities/P-PE-SVE/Registries Initiative/1. Registries activities/1.5 Methodology/Methodological guideline</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1.21,CURRENT</vt:lpwstr>
  </property>
  <property fmtid="{D5CDD505-2E9C-101B-9397-08002B2CF9AE}" pid="22" name="ZOTERO_PREF_1">
    <vt:lpwstr>&lt;data data-version="3" zotero-version="5.0.30"&gt;&lt;session id="p37oErYT"/&gt;&lt;style id="http://www.zotero.org/styles/vancouver" locale="en-US" hasBibliography="1" bibliographyStyleHasBeenSet="1"/&gt;&lt;prefs&gt;&lt;pref name="fieldType" value="Field"/&gt;&lt;pref name="automati</vt:lpwstr>
  </property>
  <property fmtid="{D5CDD505-2E9C-101B-9397-08002B2CF9AE}" pid="23" name="ZOTERO_PREF_2">
    <vt:lpwstr>cJournalAbbreviations" value="true"/&gt;&lt;pref name="noteType" value="0"/&gt;&lt;/prefs&gt;&lt;/data&gt;</vt:lpwstr>
  </property>
</Properties>
</file>