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98635C" w:rsidRPr="0098635C" w14:paraId="4AB66518" w14:textId="77777777">
        <w:trPr>
          <w:trHeight w:val="1440"/>
        </w:trPr>
        <w:tc>
          <w:tcPr>
            <w:tcW w:w="2381" w:type="dxa"/>
            <w:tcBorders>
              <w:top w:val="nil"/>
              <w:left w:val="nil"/>
              <w:bottom w:val="nil"/>
              <w:right w:val="nil"/>
            </w:tcBorders>
          </w:tcPr>
          <w:p w14:paraId="549CCE12" w14:textId="77777777" w:rsidR="00C32A31" w:rsidRPr="0098635C" w:rsidRDefault="00F82845">
            <w:pPr>
              <w:pStyle w:val="ZCom"/>
            </w:pPr>
            <w:r>
              <w:rPr>
                <w:noProof/>
                <w:sz w:val="20"/>
                <w:szCs w:val="20"/>
              </w:rPr>
              <w:drawing>
                <wp:inline distT="0" distB="0" distL="0" distR="0" wp14:anchorId="609455B5" wp14:editId="35A8FB7D">
                  <wp:extent cx="13525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676275"/>
                          </a:xfrm>
                          <a:prstGeom prst="rect">
                            <a:avLst/>
                          </a:prstGeom>
                          <a:noFill/>
                          <a:ln>
                            <a:noFill/>
                          </a:ln>
                        </pic:spPr>
                      </pic:pic>
                    </a:graphicData>
                  </a:graphic>
                </wp:inline>
              </w:drawing>
            </w:r>
          </w:p>
        </w:tc>
        <w:tc>
          <w:tcPr>
            <w:tcW w:w="7087" w:type="dxa"/>
            <w:tcBorders>
              <w:top w:val="nil"/>
              <w:left w:val="nil"/>
              <w:bottom w:val="nil"/>
              <w:right w:val="nil"/>
            </w:tcBorders>
          </w:tcPr>
          <w:p w14:paraId="1E9A5B6A" w14:textId="77777777" w:rsidR="00C32A31" w:rsidRPr="0098635C" w:rsidRDefault="00C32A31">
            <w:pPr>
              <w:pStyle w:val="ZCom"/>
              <w:spacing w:before="90"/>
            </w:pPr>
            <w:r w:rsidRPr="0098635C">
              <w:t>EUROPEAN COMMISSION</w:t>
            </w:r>
          </w:p>
          <w:p w14:paraId="22B1A0F1" w14:textId="77777777" w:rsidR="00C32A31" w:rsidRPr="0098635C" w:rsidRDefault="00C32A31">
            <w:pPr>
              <w:pStyle w:val="ZDGName"/>
            </w:pPr>
            <w:r w:rsidRPr="0098635C">
              <w:t>Directorate-General for Internal Market, Industry, Entrepreneurship and SMEs</w:t>
            </w:r>
          </w:p>
          <w:p w14:paraId="1377F035" w14:textId="77777777" w:rsidR="00C32A31" w:rsidRPr="0098635C" w:rsidRDefault="00C32A31">
            <w:pPr>
              <w:pStyle w:val="ZDGName"/>
            </w:pPr>
          </w:p>
          <w:p w14:paraId="7B46CCA2" w14:textId="77777777" w:rsidR="00C32A31" w:rsidRPr="0098635C" w:rsidRDefault="00C32A31">
            <w:pPr>
              <w:pStyle w:val="ZDGName"/>
            </w:pPr>
            <w:r w:rsidRPr="0098635C">
              <w:t>Consumer, Environmental and Health Technologies</w:t>
            </w:r>
          </w:p>
          <w:p w14:paraId="66256992" w14:textId="77777777" w:rsidR="00C32A31" w:rsidRPr="0098635C" w:rsidRDefault="00C32A31">
            <w:pPr>
              <w:pStyle w:val="ZDGName"/>
            </w:pPr>
            <w:r w:rsidRPr="0098635C">
              <w:rPr>
                <w:b/>
                <w:bCs/>
              </w:rPr>
              <w:t>Health Technology and Cosmetics</w:t>
            </w:r>
          </w:p>
          <w:p w14:paraId="444FF6A8" w14:textId="77777777" w:rsidR="00C32A31" w:rsidRPr="0098635C" w:rsidRDefault="00C32A31">
            <w:pPr>
              <w:pStyle w:val="ZDGName"/>
            </w:pPr>
          </w:p>
        </w:tc>
      </w:tr>
    </w:tbl>
    <w:p w14:paraId="5251304B" w14:textId="77777777" w:rsidR="00C32A31" w:rsidRPr="0098635C" w:rsidRDefault="00C32A31">
      <w:pPr>
        <w:pStyle w:val="Date"/>
      </w:pPr>
      <w:r w:rsidRPr="0098635C">
        <w:t xml:space="preserve">Brussels, </w:t>
      </w:r>
    </w:p>
    <w:p w14:paraId="0FB6A0A4" w14:textId="77777777" w:rsidR="00C32A31" w:rsidRPr="0098635C" w:rsidRDefault="00C32A31" w:rsidP="00E84C8B">
      <w:pPr>
        <w:pStyle w:val="References"/>
      </w:pPr>
      <w:r w:rsidRPr="0098635C">
        <w:t>GROW/D4/</w:t>
      </w:r>
      <w:r w:rsidR="00E84C8B" w:rsidRPr="0098635C">
        <w:t>OT</w:t>
      </w:r>
      <w:r w:rsidRPr="0098635C">
        <w:t>/</w:t>
      </w:r>
      <w:r w:rsidR="004A60F9" w:rsidRPr="0098635C">
        <w:t>PP</w:t>
      </w:r>
    </w:p>
    <w:p w14:paraId="6C3D5C90" w14:textId="7333B8D4" w:rsidR="00E84C8B" w:rsidRPr="0098635C" w:rsidRDefault="007D1349" w:rsidP="00E84C8B">
      <w:pPr>
        <w:pStyle w:val="AddressTR"/>
        <w:rPr>
          <w:sz w:val="20"/>
        </w:rPr>
      </w:pPr>
      <w:r>
        <w:rPr>
          <w:sz w:val="20"/>
        </w:rPr>
        <w:t>28</w:t>
      </w:r>
      <w:r w:rsidR="00E84C8B" w:rsidRPr="0098635C">
        <w:rPr>
          <w:sz w:val="20"/>
        </w:rPr>
        <w:t>/</w:t>
      </w:r>
      <w:r>
        <w:rPr>
          <w:sz w:val="20"/>
        </w:rPr>
        <w:t>03/2019</w:t>
      </w:r>
    </w:p>
    <w:p w14:paraId="0914E7DE" w14:textId="77777777" w:rsidR="00C32A31" w:rsidRPr="0098635C" w:rsidRDefault="00C32A31"/>
    <w:p w14:paraId="020FE454" w14:textId="77777777" w:rsidR="00C32A31" w:rsidRPr="0098635C" w:rsidRDefault="00C32A31" w:rsidP="00C32A31">
      <w:pPr>
        <w:pStyle w:val="NoteHead"/>
      </w:pPr>
      <w:r w:rsidRPr="0098635C">
        <w:t>Note to the File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7510"/>
        <w:gridCol w:w="76"/>
      </w:tblGrid>
      <w:tr w:rsidR="0098635C" w:rsidRPr="0098635C" w14:paraId="3212C579" w14:textId="77777777" w:rsidTr="00D424F1">
        <w:tc>
          <w:tcPr>
            <w:tcW w:w="1668" w:type="dxa"/>
          </w:tcPr>
          <w:p w14:paraId="36B7123B" w14:textId="77777777" w:rsidR="00E84C8B" w:rsidRPr="0098635C" w:rsidRDefault="00E84C8B" w:rsidP="00E84C8B">
            <w:pPr>
              <w:pStyle w:val="Subject"/>
              <w:spacing w:after="100"/>
              <w:ind w:left="0" w:firstLine="0"/>
            </w:pPr>
            <w:r w:rsidRPr="0098635C">
              <w:t>Subject:</w:t>
            </w:r>
          </w:p>
        </w:tc>
        <w:tc>
          <w:tcPr>
            <w:tcW w:w="7767" w:type="dxa"/>
            <w:gridSpan w:val="2"/>
          </w:tcPr>
          <w:p w14:paraId="28431F41" w14:textId="0F6507AC" w:rsidR="00E84C8B" w:rsidRPr="0098635C" w:rsidRDefault="00E84C8B" w:rsidP="007D1349">
            <w:pPr>
              <w:pStyle w:val="Subject"/>
              <w:spacing w:after="100"/>
              <w:rPr>
                <w:smallCaps/>
              </w:rPr>
            </w:pPr>
            <w:r w:rsidRPr="0098635C">
              <w:rPr>
                <w:smallCaps/>
              </w:rPr>
              <w:t xml:space="preserve">Borderline and Classification Working Group </w:t>
            </w:r>
            <w:r w:rsidR="007D1349">
              <w:rPr>
                <w:smallCaps/>
              </w:rPr>
              <w:t>Teleconference</w:t>
            </w:r>
            <w:r w:rsidRPr="0098635C">
              <w:rPr>
                <w:smallCaps/>
              </w:rPr>
              <w:t xml:space="preserve"> </w:t>
            </w:r>
          </w:p>
        </w:tc>
      </w:tr>
      <w:tr w:rsidR="0098635C" w:rsidRPr="0098635C" w14:paraId="6D5A6717" w14:textId="77777777" w:rsidTr="00D424F1">
        <w:tc>
          <w:tcPr>
            <w:tcW w:w="1668" w:type="dxa"/>
          </w:tcPr>
          <w:p w14:paraId="152E8A07" w14:textId="77777777" w:rsidR="00E84C8B" w:rsidRPr="0098635C" w:rsidRDefault="00E84C8B" w:rsidP="00E84C8B">
            <w:pPr>
              <w:pStyle w:val="Subject"/>
              <w:spacing w:after="100"/>
              <w:ind w:left="0" w:firstLine="0"/>
            </w:pPr>
          </w:p>
        </w:tc>
        <w:tc>
          <w:tcPr>
            <w:tcW w:w="7767" w:type="dxa"/>
            <w:gridSpan w:val="2"/>
          </w:tcPr>
          <w:p w14:paraId="3571E491" w14:textId="19F74DDD" w:rsidR="00E84C8B" w:rsidRPr="0098635C" w:rsidRDefault="00E84C8B" w:rsidP="007D1349">
            <w:pPr>
              <w:pStyle w:val="Subject"/>
              <w:spacing w:after="100"/>
              <w:rPr>
                <w:smallCaps/>
              </w:rPr>
            </w:pPr>
            <w:r w:rsidRPr="0098635C">
              <w:rPr>
                <w:smallCaps/>
              </w:rPr>
              <w:t xml:space="preserve">Open session – </w:t>
            </w:r>
            <w:r w:rsidR="007D1349">
              <w:rPr>
                <w:smallCaps/>
              </w:rPr>
              <w:t>28</w:t>
            </w:r>
            <w:r w:rsidR="00F813D3">
              <w:rPr>
                <w:smallCaps/>
              </w:rPr>
              <w:t xml:space="preserve"> </w:t>
            </w:r>
            <w:r w:rsidR="007D1349">
              <w:rPr>
                <w:smallCaps/>
              </w:rPr>
              <w:t>March</w:t>
            </w:r>
            <w:r w:rsidRPr="0098635C">
              <w:rPr>
                <w:smallCaps/>
              </w:rPr>
              <w:t xml:space="preserve"> </w:t>
            </w:r>
            <w:r w:rsidR="00F813D3">
              <w:rPr>
                <w:smallCaps/>
              </w:rPr>
              <w:t>201</w:t>
            </w:r>
            <w:r w:rsidR="007D1349">
              <w:rPr>
                <w:smallCaps/>
              </w:rPr>
              <w:t>9</w:t>
            </w:r>
            <w:r w:rsidRPr="0098635C">
              <w:rPr>
                <w:smallCaps/>
              </w:rPr>
              <w:t xml:space="preserve"> 1</w:t>
            </w:r>
            <w:r w:rsidR="00D15B3D">
              <w:rPr>
                <w:smallCaps/>
              </w:rPr>
              <w:t>0</w:t>
            </w:r>
            <w:r w:rsidRPr="0098635C">
              <w:rPr>
                <w:smallCaps/>
              </w:rPr>
              <w:t>:00-1</w:t>
            </w:r>
            <w:r w:rsidR="007D1349">
              <w:rPr>
                <w:smallCaps/>
              </w:rPr>
              <w:t>1</w:t>
            </w:r>
            <w:r w:rsidRPr="0098635C">
              <w:rPr>
                <w:smallCaps/>
              </w:rPr>
              <w:t>:</w:t>
            </w:r>
            <w:r w:rsidR="007D1349">
              <w:rPr>
                <w:smallCaps/>
              </w:rPr>
              <w:t>0</w:t>
            </w:r>
            <w:r w:rsidRPr="0098635C">
              <w:rPr>
                <w:smallCaps/>
              </w:rPr>
              <w:t>0</w:t>
            </w:r>
          </w:p>
        </w:tc>
      </w:tr>
      <w:tr w:rsidR="0098635C" w:rsidRPr="00BB2327" w14:paraId="30BD5233" w14:textId="77777777" w:rsidTr="00D424F1">
        <w:trPr>
          <w:gridAfter w:val="1"/>
          <w:wAfter w:w="79" w:type="dxa"/>
          <w:trHeight w:val="463"/>
        </w:trPr>
        <w:tc>
          <w:tcPr>
            <w:tcW w:w="1668" w:type="dxa"/>
          </w:tcPr>
          <w:p w14:paraId="4031C415" w14:textId="77777777" w:rsidR="00EC14F7" w:rsidRPr="0098635C" w:rsidRDefault="00EC14F7" w:rsidP="0098635C">
            <w:pPr>
              <w:pStyle w:val="Subject"/>
              <w:ind w:left="0" w:firstLine="0"/>
              <w:rPr>
                <w:b w:val="0"/>
                <w:i/>
              </w:rPr>
            </w:pPr>
            <w:r w:rsidRPr="0098635C">
              <w:rPr>
                <w:b w:val="0"/>
                <w:i/>
              </w:rPr>
              <w:t>Participants:</w:t>
            </w:r>
          </w:p>
        </w:tc>
        <w:tc>
          <w:tcPr>
            <w:tcW w:w="7688" w:type="dxa"/>
          </w:tcPr>
          <w:p w14:paraId="44195C75" w14:textId="15BC8EA6" w:rsidR="007D1349" w:rsidRDefault="007D1349" w:rsidP="0080728D">
            <w:pPr>
              <w:pStyle w:val="Subject"/>
              <w:spacing w:after="0"/>
              <w:ind w:left="34" w:hanging="34"/>
              <w:rPr>
                <w:b w:val="0"/>
                <w:i/>
                <w:smallCaps/>
                <w:lang w:val="da-DK"/>
              </w:rPr>
            </w:pPr>
            <w:r>
              <w:rPr>
                <w:b w:val="0"/>
                <w:i/>
                <w:smallCaps/>
                <w:lang w:val="da-DK"/>
              </w:rPr>
              <w:t>BE, DE, AT, GR, HR, CY, DK, FI, NO, LV, IT, FR, SE, SI, PT, ES, UK, PL</w:t>
            </w:r>
          </w:p>
          <w:p w14:paraId="503C34AB" w14:textId="65582AF7" w:rsidR="00EC14F7" w:rsidRPr="00C91D17" w:rsidRDefault="00EC14F7" w:rsidP="0080728D">
            <w:pPr>
              <w:pStyle w:val="Subject"/>
              <w:spacing w:after="0"/>
              <w:ind w:left="34" w:hanging="34"/>
              <w:rPr>
                <w:b w:val="0"/>
                <w:i/>
                <w:smallCaps/>
                <w:lang w:val="da-DK"/>
              </w:rPr>
            </w:pPr>
          </w:p>
        </w:tc>
      </w:tr>
      <w:tr w:rsidR="0098635C" w:rsidRPr="00AD205E" w14:paraId="2F3D1192" w14:textId="77777777" w:rsidTr="00D424F1">
        <w:trPr>
          <w:gridAfter w:val="1"/>
          <w:wAfter w:w="79" w:type="dxa"/>
          <w:trHeight w:val="646"/>
        </w:trPr>
        <w:tc>
          <w:tcPr>
            <w:tcW w:w="1668" w:type="dxa"/>
          </w:tcPr>
          <w:p w14:paraId="6A072C57" w14:textId="77777777" w:rsidR="00EC14F7" w:rsidRPr="00C91D17" w:rsidRDefault="00EC14F7" w:rsidP="0098635C">
            <w:pPr>
              <w:pStyle w:val="Subject"/>
              <w:ind w:left="0" w:firstLine="0"/>
              <w:rPr>
                <w:lang w:val="da-DK"/>
              </w:rPr>
            </w:pPr>
          </w:p>
        </w:tc>
        <w:tc>
          <w:tcPr>
            <w:tcW w:w="7688" w:type="dxa"/>
          </w:tcPr>
          <w:p w14:paraId="303D0030" w14:textId="26413410" w:rsidR="00EC14F7" w:rsidRPr="00C91D17" w:rsidRDefault="007D1349" w:rsidP="007D1349">
            <w:pPr>
              <w:pStyle w:val="Subject"/>
              <w:spacing w:after="0"/>
              <w:ind w:left="0" w:firstLine="0"/>
              <w:rPr>
                <w:i/>
                <w:lang w:val="da-DK"/>
              </w:rPr>
            </w:pPr>
            <w:r>
              <w:rPr>
                <w:b w:val="0"/>
                <w:i/>
                <w:lang w:val="da-DK"/>
              </w:rPr>
              <w:t xml:space="preserve">NB-MED, TEAM NB, APPLIA, BioMed Alliance, </w:t>
            </w:r>
            <w:r w:rsidR="00C91D17">
              <w:rPr>
                <w:b w:val="0"/>
                <w:i/>
                <w:lang w:val="da-DK"/>
              </w:rPr>
              <w:t xml:space="preserve">AESGP, COCIR, ECOO, EUCOPE, EUROM VI, </w:t>
            </w:r>
            <w:r>
              <w:rPr>
                <w:b w:val="0"/>
                <w:i/>
                <w:lang w:val="da-DK"/>
              </w:rPr>
              <w:t>FIDE, MedPharmPlast</w:t>
            </w:r>
            <w:r w:rsidR="00CF3951" w:rsidRPr="00C91D17">
              <w:rPr>
                <w:b w:val="0"/>
                <w:i/>
                <w:lang w:val="da-DK"/>
              </w:rPr>
              <w:t xml:space="preserve"> </w:t>
            </w:r>
          </w:p>
        </w:tc>
      </w:tr>
      <w:tr w:rsidR="0098635C" w:rsidRPr="00AD205E" w14:paraId="27BD3D05" w14:textId="77777777" w:rsidTr="00D424F1">
        <w:trPr>
          <w:gridAfter w:val="1"/>
          <w:wAfter w:w="79" w:type="dxa"/>
        </w:trPr>
        <w:tc>
          <w:tcPr>
            <w:tcW w:w="1668" w:type="dxa"/>
          </w:tcPr>
          <w:p w14:paraId="54D7E99A" w14:textId="77777777" w:rsidR="00EC14F7" w:rsidRPr="00C91D17" w:rsidRDefault="00EC14F7" w:rsidP="0098635C">
            <w:pPr>
              <w:pStyle w:val="Subject"/>
              <w:ind w:left="0" w:firstLine="0"/>
              <w:rPr>
                <w:lang w:val="da-DK"/>
              </w:rPr>
            </w:pPr>
          </w:p>
        </w:tc>
        <w:tc>
          <w:tcPr>
            <w:tcW w:w="7688" w:type="dxa"/>
          </w:tcPr>
          <w:p w14:paraId="7A29916F" w14:textId="2FE23FFF" w:rsidR="00EC14F7" w:rsidRPr="00BB2327" w:rsidRDefault="00EC14F7" w:rsidP="0091226C">
            <w:pPr>
              <w:pStyle w:val="Subject"/>
              <w:spacing w:after="0"/>
              <w:ind w:left="0" w:firstLine="0"/>
              <w:jc w:val="both"/>
              <w:rPr>
                <w:lang w:val="da-DK"/>
              </w:rPr>
            </w:pPr>
            <w:r w:rsidRPr="00BB2327">
              <w:rPr>
                <w:b w:val="0"/>
                <w:i/>
                <w:lang w:val="da-DK"/>
              </w:rPr>
              <w:t xml:space="preserve">DG </w:t>
            </w:r>
            <w:r w:rsidR="00F02F77" w:rsidRPr="00BB2327">
              <w:rPr>
                <w:b w:val="0"/>
                <w:i/>
                <w:lang w:val="da-DK"/>
              </w:rPr>
              <w:t>GROW D4: PP, OT</w:t>
            </w:r>
            <w:r w:rsidR="00D97675" w:rsidRPr="00BB2327">
              <w:rPr>
                <w:b w:val="0"/>
                <w:i/>
                <w:lang w:val="da-DK"/>
              </w:rPr>
              <w:t>;</w:t>
            </w:r>
            <w:r w:rsidR="00F813D3" w:rsidRPr="00BB2327">
              <w:rPr>
                <w:b w:val="0"/>
                <w:i/>
                <w:lang w:val="da-DK"/>
              </w:rPr>
              <w:t xml:space="preserve"> </w:t>
            </w:r>
            <w:r w:rsidR="00BB2327">
              <w:rPr>
                <w:b w:val="0"/>
                <w:i/>
                <w:lang w:val="da-DK"/>
              </w:rPr>
              <w:t xml:space="preserve">DG </w:t>
            </w:r>
            <w:r w:rsidR="00F813D3" w:rsidRPr="00BB2327">
              <w:rPr>
                <w:b w:val="0"/>
                <w:i/>
                <w:lang w:val="da-DK"/>
              </w:rPr>
              <w:t xml:space="preserve">SANTE: </w:t>
            </w:r>
            <w:r w:rsidR="00BB2327">
              <w:rPr>
                <w:b w:val="0"/>
                <w:i/>
                <w:lang w:val="da-DK"/>
              </w:rPr>
              <w:t>B5</w:t>
            </w:r>
            <w:r w:rsidR="0091226C">
              <w:rPr>
                <w:b w:val="0"/>
                <w:i/>
                <w:lang w:val="da-DK"/>
              </w:rPr>
              <w:t>, F;</w:t>
            </w:r>
            <w:r w:rsidR="007D1349">
              <w:rPr>
                <w:b w:val="0"/>
                <w:i/>
                <w:lang w:val="da-DK"/>
              </w:rPr>
              <w:t xml:space="preserve"> EMA</w:t>
            </w:r>
          </w:p>
        </w:tc>
      </w:tr>
    </w:tbl>
    <w:p w14:paraId="21DABFA9" w14:textId="516B8961" w:rsidR="00C51456" w:rsidRPr="0098635C" w:rsidRDefault="005C651B" w:rsidP="00EC14F7">
      <w:pPr>
        <w:pStyle w:val="ListParagraph"/>
        <w:numPr>
          <w:ilvl w:val="0"/>
          <w:numId w:val="28"/>
        </w:numPr>
        <w:rPr>
          <w:b/>
        </w:rPr>
      </w:pPr>
      <w:r>
        <w:rPr>
          <w:b/>
        </w:rPr>
        <w:t xml:space="preserve">Agenda and </w:t>
      </w:r>
      <w:r w:rsidR="00DD4A82">
        <w:rPr>
          <w:b/>
        </w:rPr>
        <w:t>adoption</w:t>
      </w:r>
      <w:r w:rsidR="00EC14F7" w:rsidRPr="00E6573A">
        <w:rPr>
          <w:b/>
        </w:rPr>
        <w:t xml:space="preserve"> of min</w:t>
      </w:r>
      <w:r w:rsidR="00D14320" w:rsidRPr="00E6573A">
        <w:rPr>
          <w:b/>
        </w:rPr>
        <w:t>utes</w:t>
      </w:r>
      <w:r w:rsidR="00F02F77">
        <w:rPr>
          <w:b/>
        </w:rPr>
        <w:t xml:space="preserve"> of the </w:t>
      </w:r>
      <w:r w:rsidR="00DD4A82">
        <w:rPr>
          <w:b/>
        </w:rPr>
        <w:t>open session</w:t>
      </w:r>
      <w:r w:rsidR="00D14320" w:rsidRPr="0098635C">
        <w:rPr>
          <w:b/>
        </w:rPr>
        <w:t xml:space="preserve"> on </w:t>
      </w:r>
      <w:r w:rsidR="00C91D17">
        <w:rPr>
          <w:b/>
        </w:rPr>
        <w:t>0</w:t>
      </w:r>
      <w:r w:rsidR="007D1349">
        <w:rPr>
          <w:b/>
        </w:rPr>
        <w:t>6</w:t>
      </w:r>
      <w:r w:rsidR="00EC14F7" w:rsidRPr="0098635C">
        <w:rPr>
          <w:b/>
        </w:rPr>
        <w:t>/</w:t>
      </w:r>
      <w:r w:rsidR="00C91D17">
        <w:rPr>
          <w:b/>
        </w:rPr>
        <w:t>1</w:t>
      </w:r>
      <w:r w:rsidR="007D1349">
        <w:rPr>
          <w:b/>
        </w:rPr>
        <w:t>2</w:t>
      </w:r>
      <w:r w:rsidR="00EC14F7" w:rsidRPr="0098635C">
        <w:rPr>
          <w:b/>
        </w:rPr>
        <w:t>/201</w:t>
      </w:r>
      <w:r w:rsidR="00377A7B">
        <w:rPr>
          <w:b/>
        </w:rPr>
        <w:t>8</w:t>
      </w:r>
      <w:r w:rsidR="00EC14F7" w:rsidRPr="0098635C">
        <w:rPr>
          <w:b/>
        </w:rPr>
        <w:t xml:space="preserve">. </w:t>
      </w:r>
    </w:p>
    <w:p w14:paraId="5FF77DE0" w14:textId="77777777" w:rsidR="00EF0260" w:rsidRDefault="00EF0260" w:rsidP="00F02F77">
      <w:pPr>
        <w:pStyle w:val="ListParagraph"/>
      </w:pPr>
    </w:p>
    <w:p w14:paraId="3411C0C6" w14:textId="59D64935" w:rsidR="00F02F77" w:rsidRPr="0098635C" w:rsidRDefault="00EF0260" w:rsidP="00377A7B">
      <w:pPr>
        <w:pStyle w:val="ListParagraph"/>
      </w:pPr>
      <w:r w:rsidRPr="0098635C">
        <w:t xml:space="preserve">The minutes </w:t>
      </w:r>
      <w:r>
        <w:t>of</w:t>
      </w:r>
      <w:r w:rsidR="00C91D17">
        <w:t xml:space="preserve"> the open session of the </w:t>
      </w:r>
      <w:r w:rsidR="007D1349">
        <w:t>meeting</w:t>
      </w:r>
      <w:r>
        <w:t xml:space="preserve"> on </w:t>
      </w:r>
      <w:r w:rsidR="007D1349">
        <w:t>06</w:t>
      </w:r>
      <w:r w:rsidR="00FF54BF">
        <w:t>/</w:t>
      </w:r>
      <w:r w:rsidR="00C91D17">
        <w:t>1</w:t>
      </w:r>
      <w:r w:rsidR="007D1349">
        <w:t>2</w:t>
      </w:r>
      <w:r w:rsidR="00FF54BF">
        <w:t>/</w:t>
      </w:r>
      <w:r>
        <w:t>201</w:t>
      </w:r>
      <w:r w:rsidR="00377A7B">
        <w:t>8</w:t>
      </w:r>
      <w:r w:rsidR="007D1349">
        <w:t xml:space="preserve"> </w:t>
      </w:r>
      <w:r w:rsidRPr="0098635C">
        <w:t xml:space="preserve">were approved. </w:t>
      </w:r>
      <w:r w:rsidR="00377A7B">
        <w:t>The agenda was approved.</w:t>
      </w:r>
    </w:p>
    <w:p w14:paraId="281D2B19" w14:textId="77777777" w:rsidR="005848FE" w:rsidRPr="005848FE" w:rsidRDefault="005848FE" w:rsidP="005848FE">
      <w:pPr>
        <w:rPr>
          <w:b/>
        </w:rPr>
      </w:pPr>
    </w:p>
    <w:p w14:paraId="7B5B67A9" w14:textId="18136701" w:rsidR="007D1349" w:rsidRDefault="007D1349" w:rsidP="00EC14F7">
      <w:pPr>
        <w:pStyle w:val="ListParagraph"/>
        <w:numPr>
          <w:ilvl w:val="0"/>
          <w:numId w:val="28"/>
        </w:numPr>
        <w:rPr>
          <w:b/>
        </w:rPr>
      </w:pPr>
      <w:r>
        <w:rPr>
          <w:b/>
        </w:rPr>
        <w:t>Transition to MDCG Working Group status, welcome to new stakeholder participants</w:t>
      </w:r>
    </w:p>
    <w:p w14:paraId="3B633FAB" w14:textId="2520414E" w:rsidR="007D1349" w:rsidRDefault="007D1349" w:rsidP="007D1349">
      <w:pPr>
        <w:pStyle w:val="ListParagraph"/>
        <w:rPr>
          <w:b/>
        </w:rPr>
      </w:pPr>
    </w:p>
    <w:p w14:paraId="61760CA6" w14:textId="2E0A1DD5" w:rsidR="007D1349" w:rsidRDefault="007D1349" w:rsidP="007D1349">
      <w:pPr>
        <w:pStyle w:val="ListParagraph"/>
      </w:pPr>
      <w:r>
        <w:t xml:space="preserve">The Chair explained that </w:t>
      </w:r>
      <w:r w:rsidR="004B13F2">
        <w:t xml:space="preserve">the BCWG is now </w:t>
      </w:r>
      <w:r>
        <w:t xml:space="preserve">a Working Group </w:t>
      </w:r>
      <w:r w:rsidR="004B13F2">
        <w:t>under the MDCG. The MDCG, or</w:t>
      </w:r>
      <w:r>
        <w:t xml:space="preserve"> the Medical Device Coordination Group, </w:t>
      </w:r>
      <w:r w:rsidR="004B13F2">
        <w:t xml:space="preserve">is </w:t>
      </w:r>
      <w:r>
        <w:t>the high-level group of Competent Authority representatives in charge of the medical devices sector</w:t>
      </w:r>
      <w:r w:rsidR="004B13F2">
        <w:t>, chaired by the Commission</w:t>
      </w:r>
      <w:r>
        <w:t xml:space="preserve">. </w:t>
      </w:r>
      <w:r w:rsidR="004B13F2">
        <w:t xml:space="preserve">The Terms of Reference of the BCWG can be found on the </w:t>
      </w:r>
      <w:hyperlink r:id="rId11" w:history="1">
        <w:r w:rsidR="004B13F2" w:rsidRPr="004B13F2">
          <w:rPr>
            <w:rStyle w:val="Hyperlink"/>
          </w:rPr>
          <w:t>Commission website</w:t>
        </w:r>
      </w:hyperlink>
      <w:r w:rsidR="004B13F2">
        <w:t xml:space="preserve">. </w:t>
      </w:r>
      <w:r w:rsidR="008325F9">
        <w:t xml:space="preserve">Following a call for interest earlier this year, new stakeholder observers joined the group and the Chair welcomed them to the teleconference. </w:t>
      </w:r>
    </w:p>
    <w:p w14:paraId="6BDB1B9D" w14:textId="2942E20A" w:rsidR="004B13F2" w:rsidRDefault="004B13F2" w:rsidP="007D1349">
      <w:pPr>
        <w:pStyle w:val="ListParagraph"/>
      </w:pPr>
    </w:p>
    <w:p w14:paraId="28420F90" w14:textId="594B5C88" w:rsidR="008325F9" w:rsidRDefault="004B13F2" w:rsidP="007D1349">
      <w:pPr>
        <w:pStyle w:val="ListParagraph"/>
      </w:pPr>
      <w:r>
        <w:t>The Chair reiterated the following rules for stakeholder</w:t>
      </w:r>
      <w:r w:rsidR="008325F9">
        <w:t>s, which are essential to ensure adequate management of the teleconferences</w:t>
      </w:r>
      <w:r>
        <w:t xml:space="preserve">: not more than one connection per stakeholder association is permitted, and stakeholders should include the name of the association they represent when they connect. </w:t>
      </w:r>
      <w:r w:rsidR="008325F9">
        <w:t>Stakeholders not respecting these rules will be disconnected from the teleconference.</w:t>
      </w:r>
    </w:p>
    <w:p w14:paraId="05E65B0D" w14:textId="69FE2CD5" w:rsidR="004B13F2" w:rsidRDefault="004B13F2" w:rsidP="007D1349">
      <w:pPr>
        <w:pStyle w:val="ListParagraph"/>
      </w:pPr>
      <w:r>
        <w:t xml:space="preserve"> </w:t>
      </w:r>
    </w:p>
    <w:p w14:paraId="570AE482" w14:textId="77777777" w:rsidR="00780258" w:rsidRPr="007D1349" w:rsidRDefault="00780258" w:rsidP="007D1349">
      <w:pPr>
        <w:pStyle w:val="ListParagraph"/>
      </w:pPr>
    </w:p>
    <w:p w14:paraId="3E882D4F" w14:textId="77777777" w:rsidR="007D1349" w:rsidRDefault="007D1349" w:rsidP="007D1349">
      <w:pPr>
        <w:pStyle w:val="ListParagraph"/>
        <w:rPr>
          <w:b/>
        </w:rPr>
      </w:pPr>
    </w:p>
    <w:p w14:paraId="020B1648" w14:textId="68FD5824" w:rsidR="00856DEC" w:rsidRDefault="008325F9" w:rsidP="00EC14F7">
      <w:pPr>
        <w:pStyle w:val="ListParagraph"/>
        <w:numPr>
          <w:ilvl w:val="0"/>
          <w:numId w:val="28"/>
        </w:numPr>
        <w:rPr>
          <w:b/>
        </w:rPr>
      </w:pPr>
      <w:r>
        <w:rPr>
          <w:b/>
        </w:rPr>
        <w:t>Progress of task forces</w:t>
      </w:r>
    </w:p>
    <w:p w14:paraId="1C7DE884" w14:textId="77777777" w:rsidR="008325F9" w:rsidRDefault="008325F9" w:rsidP="00F813D3">
      <w:pPr>
        <w:pStyle w:val="ListParagraph"/>
      </w:pPr>
    </w:p>
    <w:p w14:paraId="7E628478" w14:textId="4E909778" w:rsidR="00F813D3" w:rsidRPr="00F813D3" w:rsidRDefault="008325F9" w:rsidP="00F813D3">
      <w:pPr>
        <w:pStyle w:val="ListParagraph"/>
      </w:pPr>
      <w:r>
        <w:t xml:space="preserve">Two task forces are currently in place at the BCWG. One is working on a new guidance document </w:t>
      </w:r>
      <w:proofErr w:type="gramStart"/>
      <w:r>
        <w:t>on the basis of</w:t>
      </w:r>
      <w:proofErr w:type="gramEnd"/>
      <w:r>
        <w:t xml:space="preserve"> MEDDEV 2.1/3 rev 3 (mainly borderline with medicines). This task force consists of three streams: main text, definitions, herbal products. The second task force is working on classification guidance </w:t>
      </w:r>
      <w:proofErr w:type="gramStart"/>
      <w:r>
        <w:t>on the basis of</w:t>
      </w:r>
      <w:proofErr w:type="gramEnd"/>
      <w:r>
        <w:t xml:space="preserve"> MEDDEV 2.4/1 rev 9. </w:t>
      </w:r>
    </w:p>
    <w:p w14:paraId="2480F844" w14:textId="77777777" w:rsidR="005848FE" w:rsidRDefault="005848FE" w:rsidP="005848FE">
      <w:pPr>
        <w:pStyle w:val="ListParagraph"/>
        <w:rPr>
          <w:b/>
        </w:rPr>
      </w:pPr>
    </w:p>
    <w:p w14:paraId="02C11F40" w14:textId="11C931F0" w:rsidR="00856DEC" w:rsidRDefault="00856DEC" w:rsidP="005848FE">
      <w:pPr>
        <w:pStyle w:val="ListParagraph"/>
        <w:numPr>
          <w:ilvl w:val="0"/>
          <w:numId w:val="32"/>
        </w:numPr>
        <w:rPr>
          <w:b/>
        </w:rPr>
      </w:pPr>
      <w:r>
        <w:rPr>
          <w:b/>
        </w:rPr>
        <w:t>MEDDEV 2.1/3 rev 3</w:t>
      </w:r>
    </w:p>
    <w:p w14:paraId="45D885DC" w14:textId="77777777" w:rsidR="003454E4" w:rsidRDefault="003454E4" w:rsidP="005848FE">
      <w:pPr>
        <w:pStyle w:val="ListParagraph"/>
      </w:pPr>
    </w:p>
    <w:p w14:paraId="1E9417D3" w14:textId="77777777" w:rsidR="003454E4" w:rsidRDefault="003454E4" w:rsidP="005848FE">
      <w:pPr>
        <w:pStyle w:val="ListParagraph"/>
      </w:pPr>
      <w:r>
        <w:t xml:space="preserve">The stream </w:t>
      </w:r>
      <w:r w:rsidR="007139B0">
        <w:t>leaders</w:t>
      </w:r>
      <w:r>
        <w:t xml:space="preserve"> gave short updates on the status of each stream:</w:t>
      </w:r>
    </w:p>
    <w:p w14:paraId="3262CE66" w14:textId="77777777" w:rsidR="00DD4A82" w:rsidRDefault="00DD4A82" w:rsidP="005848FE">
      <w:pPr>
        <w:pStyle w:val="ListParagraph"/>
      </w:pPr>
    </w:p>
    <w:p w14:paraId="73D76A01" w14:textId="58795E03" w:rsidR="00AD54F7" w:rsidRPr="00AD54F7" w:rsidRDefault="00DD4A82" w:rsidP="00BB0AD8">
      <w:pPr>
        <w:pStyle w:val="ListParagraph"/>
        <w:numPr>
          <w:ilvl w:val="0"/>
          <w:numId w:val="33"/>
        </w:numPr>
        <w:ind w:left="993" w:hanging="284"/>
      </w:pPr>
      <w:r w:rsidRPr="00937BF6">
        <w:rPr>
          <w:b/>
        </w:rPr>
        <w:t>Main</w:t>
      </w:r>
      <w:r>
        <w:t>:</w:t>
      </w:r>
      <w:r w:rsidR="003454E4">
        <w:t xml:space="preserve"> </w:t>
      </w:r>
      <w:r w:rsidR="00AD54F7">
        <w:t>a first draft document has been circulated among the regulators in which some new elements from the Regulation have been reflected</w:t>
      </w:r>
      <w:r w:rsidR="00AD54F7" w:rsidRPr="00AD54F7">
        <w:t xml:space="preserve">. </w:t>
      </w:r>
      <w:r w:rsidR="00AD54F7">
        <w:t xml:space="preserve">Further discussion among regulators is to take place. </w:t>
      </w:r>
      <w:r w:rsidR="00937BF6">
        <w:t>Structure and coverage of matters such as</w:t>
      </w:r>
      <w:r w:rsidR="00AD54F7">
        <w:t xml:space="preserve"> tissues and cells and ancillary human blood products, </w:t>
      </w:r>
      <w:r w:rsidR="00937BF6">
        <w:t xml:space="preserve">and </w:t>
      </w:r>
      <w:r w:rsidR="00AD54F7">
        <w:t xml:space="preserve">substance-based devices </w:t>
      </w:r>
      <w:r w:rsidR="00937BF6">
        <w:t>are being discussed</w:t>
      </w:r>
      <w:r w:rsidR="00AD54F7">
        <w:t>. EUROM VI stressed the need for clear examples. AESGP insisted on the need to coordinate between the different streams to ensure a consistent approach.</w:t>
      </w:r>
      <w:r w:rsidR="00AD205E">
        <w:br/>
      </w:r>
    </w:p>
    <w:p w14:paraId="51DE803D" w14:textId="56019939" w:rsidR="00DD4A82" w:rsidRPr="00740BE6" w:rsidRDefault="00DD4A82" w:rsidP="003454E4">
      <w:pPr>
        <w:pStyle w:val="ListParagraph"/>
        <w:numPr>
          <w:ilvl w:val="0"/>
          <w:numId w:val="33"/>
        </w:numPr>
        <w:ind w:left="993" w:hanging="284"/>
        <w:rPr>
          <w:b/>
        </w:rPr>
      </w:pPr>
      <w:r w:rsidRPr="00722803">
        <w:rPr>
          <w:b/>
        </w:rPr>
        <w:t>Definitions</w:t>
      </w:r>
      <w:r>
        <w:t xml:space="preserve">: </w:t>
      </w:r>
      <w:r w:rsidR="00AD54F7">
        <w:t xml:space="preserve">COM </w:t>
      </w:r>
      <w:r w:rsidR="000F2CEF">
        <w:t xml:space="preserve">informed the group that it has </w:t>
      </w:r>
      <w:r w:rsidR="00AD54F7">
        <w:t xml:space="preserve">received the EMA opinion on the draft texts and will forward it to the regulators in the </w:t>
      </w:r>
      <w:r w:rsidR="000F2CEF">
        <w:t>stream</w:t>
      </w:r>
      <w:r w:rsidR="00AD54F7">
        <w:t xml:space="preserve"> shortly. </w:t>
      </w:r>
      <w:r w:rsidR="00740BE6">
        <w:t>A</w:t>
      </w:r>
      <w:r w:rsidR="00F813D3">
        <w:t xml:space="preserve"> workshop</w:t>
      </w:r>
      <w:r w:rsidR="00740BE6">
        <w:t>, ideally a face-to-face one-day meeting</w:t>
      </w:r>
      <w:r w:rsidR="000F2CEF">
        <w:t xml:space="preserve"> but possibly a teleconference</w:t>
      </w:r>
      <w:r w:rsidR="00740BE6">
        <w:t>,</w:t>
      </w:r>
      <w:r w:rsidR="00F813D3">
        <w:t xml:space="preserve"> </w:t>
      </w:r>
      <w:r w:rsidR="000F2CEF">
        <w:t>may</w:t>
      </w:r>
      <w:r w:rsidR="00F813D3">
        <w:t xml:space="preserve"> be organised with MS and stakeholders to </w:t>
      </w:r>
      <w:r w:rsidR="00722803">
        <w:t>discuss</w:t>
      </w:r>
      <w:r w:rsidR="00F813D3">
        <w:t xml:space="preserve"> example products</w:t>
      </w:r>
      <w:r w:rsidR="00722803">
        <w:t xml:space="preserve"> under these definitions</w:t>
      </w:r>
      <w:r w:rsidR="00F813D3">
        <w:t>.</w:t>
      </w:r>
      <w:r w:rsidR="00722803">
        <w:t xml:space="preserve"> </w:t>
      </w:r>
    </w:p>
    <w:p w14:paraId="42217579" w14:textId="11C32C1C" w:rsidR="00722803" w:rsidRDefault="00DD4A82" w:rsidP="00722803">
      <w:pPr>
        <w:pStyle w:val="ListParagraph"/>
        <w:numPr>
          <w:ilvl w:val="0"/>
          <w:numId w:val="33"/>
        </w:numPr>
      </w:pPr>
      <w:r w:rsidRPr="00891241">
        <w:rPr>
          <w:b/>
        </w:rPr>
        <w:t>Herbal products</w:t>
      </w:r>
      <w:r>
        <w:t xml:space="preserve">: </w:t>
      </w:r>
      <w:r w:rsidR="00722803">
        <w:t xml:space="preserve">PT informed the group that </w:t>
      </w:r>
      <w:r w:rsidR="000F2CEF">
        <w:t>following public consultation comments are being processed and further feedback on this topic will be provided in the next weeks. AESGP and EUROM VI insisted on a common approach for this topic and the general qualification guidance. PT</w:t>
      </w:r>
      <w:r w:rsidR="007B5FB2">
        <w:t xml:space="preserve"> and UK</w:t>
      </w:r>
      <w:r w:rsidR="000F2CEF">
        <w:t xml:space="preserve"> noted that it is intended to have the same approach and to</w:t>
      </w:r>
      <w:r w:rsidR="007B5FB2">
        <w:t xml:space="preserve"> highlight that herbal substances may in some cases have ancillary medicinal action. T</w:t>
      </w:r>
      <w:r w:rsidR="000F2CEF">
        <w:t xml:space="preserve">he text will be revised to </w:t>
      </w:r>
      <w:r w:rsidR="007B5FB2">
        <w:t>improve clarity</w:t>
      </w:r>
      <w:r w:rsidR="000F2CEF">
        <w:t xml:space="preserve">. </w:t>
      </w:r>
      <w:r w:rsidR="00AD205E">
        <w:br/>
      </w:r>
    </w:p>
    <w:p w14:paraId="7A43050B" w14:textId="77777777" w:rsidR="00027B97" w:rsidRPr="00722803" w:rsidRDefault="00027B97" w:rsidP="007B5FB2"/>
    <w:p w14:paraId="782579F8" w14:textId="77777777" w:rsidR="00856DEC" w:rsidRPr="005848FE" w:rsidRDefault="00856DEC" w:rsidP="005848FE">
      <w:pPr>
        <w:pStyle w:val="ListParagraph"/>
        <w:numPr>
          <w:ilvl w:val="0"/>
          <w:numId w:val="32"/>
        </w:numPr>
        <w:rPr>
          <w:b/>
        </w:rPr>
      </w:pPr>
      <w:proofErr w:type="spellStart"/>
      <w:r w:rsidRPr="00A56299">
        <w:rPr>
          <w:b/>
        </w:rPr>
        <w:t>ToR</w:t>
      </w:r>
      <w:proofErr w:type="spellEnd"/>
      <w:r w:rsidRPr="00A56299">
        <w:rPr>
          <w:b/>
        </w:rPr>
        <w:t xml:space="preserve"> MEDDEV 2.4</w:t>
      </w:r>
      <w:r w:rsidRPr="005848FE">
        <w:rPr>
          <w:b/>
        </w:rPr>
        <w:t>/1 rev. 9</w:t>
      </w:r>
    </w:p>
    <w:p w14:paraId="50C50C6A" w14:textId="77777777" w:rsidR="00DD4A82" w:rsidRDefault="00DD4A82" w:rsidP="00DD4A82">
      <w:pPr>
        <w:ind w:left="720"/>
      </w:pPr>
    </w:p>
    <w:p w14:paraId="327A18F3" w14:textId="4FE381A3" w:rsidR="00A56299" w:rsidRDefault="007B5FB2" w:rsidP="00DD4A82">
      <w:pPr>
        <w:ind w:left="720"/>
      </w:pPr>
      <w:r>
        <w:t xml:space="preserve">DE </w:t>
      </w:r>
      <w:r w:rsidR="00A56299">
        <w:t xml:space="preserve">informed the group that </w:t>
      </w:r>
      <w:r>
        <w:t xml:space="preserve">intense drafting and discussion is ongoing with the last teleconference on 20 March. A consolidated draft may be ready by the end of April/beginning of May. Special attention is being given to Rules 11, 14, 19 and 21 and examples used throughout the document. </w:t>
      </w:r>
    </w:p>
    <w:p w14:paraId="6975101B" w14:textId="0CD387B9" w:rsidR="007B5FB2" w:rsidRDefault="007B5FB2" w:rsidP="00DD4A82">
      <w:pPr>
        <w:ind w:left="720"/>
      </w:pPr>
    </w:p>
    <w:p w14:paraId="2A0A8792" w14:textId="2A8C78D3" w:rsidR="007B5FB2" w:rsidRDefault="007B5FB2" w:rsidP="00DD4A82">
      <w:pPr>
        <w:ind w:left="720"/>
      </w:pPr>
      <w:r>
        <w:t xml:space="preserve">APPLIA enquired whether classification of Annex XVI products is being explicitly considered. COM clarified that the same </w:t>
      </w:r>
      <w:r w:rsidR="00937BF6">
        <w:t xml:space="preserve">classification </w:t>
      </w:r>
      <w:r>
        <w:t>rules</w:t>
      </w:r>
      <w:r w:rsidR="00937BF6">
        <w:t xml:space="preserve"> under MDR</w:t>
      </w:r>
      <w:r>
        <w:t xml:space="preserve"> </w:t>
      </w:r>
      <w:r w:rsidR="00937BF6">
        <w:t>will</w:t>
      </w:r>
      <w:r>
        <w:t xml:space="preserve"> apply to those </w:t>
      </w:r>
      <w:proofErr w:type="gramStart"/>
      <w:r>
        <w:t>products</w:t>
      </w:r>
      <w:proofErr w:type="gramEnd"/>
      <w:r>
        <w:t xml:space="preserve"> but the discussion is premature as common specifications for those products are still in preparation.</w:t>
      </w:r>
    </w:p>
    <w:p w14:paraId="4C682E02" w14:textId="17D93CB5" w:rsidR="00F81C94" w:rsidRDefault="00F81C94" w:rsidP="00DD4A82">
      <w:pPr>
        <w:ind w:left="720"/>
      </w:pPr>
    </w:p>
    <w:p w14:paraId="03FAA634" w14:textId="5AFEAF91" w:rsidR="00F81C94" w:rsidRDefault="00F81C94" w:rsidP="00DD4A82">
      <w:pPr>
        <w:ind w:left="720"/>
      </w:pPr>
      <w:r>
        <w:t xml:space="preserve">AESGP raised the possibility of a workshop with stakeholders also for this guidance document. This will be considered by the regulators. </w:t>
      </w:r>
    </w:p>
    <w:p w14:paraId="35AD5708" w14:textId="77777777" w:rsidR="00AD205E" w:rsidRDefault="00AD205E" w:rsidP="00DD4A82">
      <w:pPr>
        <w:ind w:left="720"/>
      </w:pPr>
    </w:p>
    <w:p w14:paraId="7545AEE0" w14:textId="77777777" w:rsidR="00856DEC" w:rsidRPr="00F81C94" w:rsidRDefault="007139B0" w:rsidP="007139B0">
      <w:pPr>
        <w:ind w:left="720"/>
        <w:rPr>
          <w:b/>
        </w:rPr>
      </w:pPr>
      <w:r w:rsidRPr="00F81C94">
        <w:rPr>
          <w:b/>
        </w:rPr>
        <w:t>For all streams:</w:t>
      </w:r>
    </w:p>
    <w:p w14:paraId="2AF5F2A7" w14:textId="3158DDA1" w:rsidR="0097060B" w:rsidRDefault="00F81C94" w:rsidP="00F81C94">
      <w:pPr>
        <w:ind w:left="709"/>
      </w:pPr>
      <w:r>
        <w:t>New stakeholder associations were invited to express interest in joining one or more of the above streams. Should they wish to do</w:t>
      </w:r>
      <w:r w:rsidR="00780258">
        <w:t xml:space="preserve"> so</w:t>
      </w:r>
      <w:r>
        <w:t>, they were requested to send names of contacts to COM at</w:t>
      </w:r>
      <w:r w:rsidRPr="00F81C94">
        <w:t xml:space="preserve"> </w:t>
      </w:r>
      <w:hyperlink r:id="rId12" w:history="1">
        <w:r w:rsidRPr="00EB3F5C">
          <w:rPr>
            <w:rStyle w:val="Hyperlink"/>
          </w:rPr>
          <w:t>GROW-D4-BCWG@ec.europa.eu</w:t>
        </w:r>
      </w:hyperlink>
      <w:r>
        <w:t xml:space="preserve"> by </w:t>
      </w:r>
      <w:r w:rsidR="0074734A">
        <w:rPr>
          <w:b/>
          <w:u w:val="single"/>
        </w:rPr>
        <w:t>12</w:t>
      </w:r>
      <w:r w:rsidRPr="00F81C94">
        <w:rPr>
          <w:b/>
          <w:u w:val="single"/>
        </w:rPr>
        <w:t xml:space="preserve"> April 2019</w:t>
      </w:r>
      <w:r>
        <w:t xml:space="preserve">.  </w:t>
      </w:r>
    </w:p>
    <w:p w14:paraId="386ABA2C" w14:textId="2B0B5BFC" w:rsidR="0097060B" w:rsidRDefault="0097060B" w:rsidP="00DD4A82"/>
    <w:p w14:paraId="6DD4AAF6" w14:textId="39F9D7F9" w:rsidR="00780258" w:rsidRDefault="00780258" w:rsidP="00DD4A82"/>
    <w:p w14:paraId="40DF2E85" w14:textId="77777777" w:rsidR="00780258" w:rsidRPr="005848FE" w:rsidRDefault="00780258" w:rsidP="00DD4A82"/>
    <w:p w14:paraId="1D787E34" w14:textId="77777777" w:rsidR="00D43546" w:rsidRDefault="00D43546" w:rsidP="00D43546">
      <w:pPr>
        <w:pStyle w:val="ListParagraph"/>
        <w:rPr>
          <w:b/>
        </w:rPr>
      </w:pPr>
    </w:p>
    <w:p w14:paraId="328E633D" w14:textId="77777777" w:rsidR="00856DEC" w:rsidRDefault="00E036E4" w:rsidP="00EC14F7">
      <w:pPr>
        <w:pStyle w:val="ListParagraph"/>
        <w:numPr>
          <w:ilvl w:val="0"/>
          <w:numId w:val="28"/>
        </w:numPr>
        <w:rPr>
          <w:b/>
        </w:rPr>
      </w:pPr>
      <w:r>
        <w:rPr>
          <w:b/>
        </w:rPr>
        <w:t>N</w:t>
      </w:r>
      <w:r w:rsidR="00856DEC">
        <w:rPr>
          <w:b/>
        </w:rPr>
        <w:t xml:space="preserve">on-viable </w:t>
      </w:r>
      <w:r>
        <w:rPr>
          <w:b/>
        </w:rPr>
        <w:t xml:space="preserve">human </w:t>
      </w:r>
      <w:r w:rsidR="00856DEC">
        <w:rPr>
          <w:b/>
        </w:rPr>
        <w:t>tissues and cells</w:t>
      </w:r>
    </w:p>
    <w:p w14:paraId="1B81E68A" w14:textId="77777777" w:rsidR="00856DEC" w:rsidRDefault="00856DEC" w:rsidP="005848FE">
      <w:pPr>
        <w:pStyle w:val="ListParagraph"/>
        <w:rPr>
          <w:b/>
        </w:rPr>
      </w:pPr>
    </w:p>
    <w:p w14:paraId="54085940" w14:textId="077FEBD8" w:rsidR="0091226C" w:rsidRDefault="00F81C94" w:rsidP="0091226C">
      <w:pPr>
        <w:pStyle w:val="ListParagraph"/>
      </w:pPr>
      <w:r>
        <w:t xml:space="preserve">This complex topic has been previously discussed at several meetings and teleconferences. </w:t>
      </w:r>
      <w:r w:rsidR="0091226C">
        <w:t>A</w:t>
      </w:r>
      <w:r>
        <w:t xml:space="preserve"> preliminary document aiming to capture questions on this matter</w:t>
      </w:r>
      <w:r w:rsidR="0091226C">
        <w:t xml:space="preserve"> was presented</w:t>
      </w:r>
      <w:r>
        <w:t xml:space="preserve">. COM </w:t>
      </w:r>
      <w:r w:rsidR="0091226C">
        <w:t>underlined that</w:t>
      </w:r>
      <w:r>
        <w:t xml:space="preserve"> the document is intended for </w:t>
      </w:r>
      <w:r w:rsidR="0091226C">
        <w:t xml:space="preserve">internal </w:t>
      </w:r>
      <w:r>
        <w:t xml:space="preserve">discussion </w:t>
      </w:r>
      <w:r w:rsidR="0091226C">
        <w:t xml:space="preserve">in the group </w:t>
      </w:r>
      <w:r>
        <w:t>and not</w:t>
      </w:r>
      <w:r w:rsidR="0091226C">
        <w:t xml:space="preserve"> for</w:t>
      </w:r>
      <w:r>
        <w:t xml:space="preserve"> </w:t>
      </w:r>
      <w:r w:rsidR="00780258">
        <w:t>application in practice</w:t>
      </w:r>
      <w:r w:rsidR="0091226C">
        <w:t>, and that the</w:t>
      </w:r>
      <w:r>
        <w:t xml:space="preserve"> </w:t>
      </w:r>
      <w:r w:rsidR="00780258">
        <w:t>current views expressed</w:t>
      </w:r>
      <w:r>
        <w:t xml:space="preserve"> are</w:t>
      </w:r>
      <w:r w:rsidR="0091226C">
        <w:t xml:space="preserve"> </w:t>
      </w:r>
      <w:r w:rsidR="00780258">
        <w:t xml:space="preserve">strictly </w:t>
      </w:r>
      <w:r w:rsidR="0091226C">
        <w:t>tentative and</w:t>
      </w:r>
      <w:r>
        <w:t xml:space="preserve"> pending internal consultation. </w:t>
      </w:r>
      <w:r w:rsidR="0091226C">
        <w:t xml:space="preserve">A 1-month period (until </w:t>
      </w:r>
      <w:r w:rsidR="0091226C" w:rsidRPr="0091226C">
        <w:rPr>
          <w:b/>
          <w:u w:val="single"/>
        </w:rPr>
        <w:t>30 April 2019</w:t>
      </w:r>
      <w:r w:rsidR="0091226C">
        <w:t xml:space="preserve">) was agreed for submission of written comments on the document to </w:t>
      </w:r>
      <w:hyperlink r:id="rId13" w:history="1">
        <w:r w:rsidR="0091226C" w:rsidRPr="00EB3F5C">
          <w:rPr>
            <w:rStyle w:val="Hyperlink"/>
          </w:rPr>
          <w:t>GROW-D4-BCWG@ec.europa.eu</w:t>
        </w:r>
      </w:hyperlink>
      <w:r w:rsidR="0091226C">
        <w:t xml:space="preserve">. </w:t>
      </w:r>
    </w:p>
    <w:p w14:paraId="51877464" w14:textId="77777777" w:rsidR="00891241" w:rsidRDefault="00891241" w:rsidP="0091226C">
      <w:pPr>
        <w:pStyle w:val="ListParagraph"/>
      </w:pPr>
      <w:bookmarkStart w:id="0" w:name="_GoBack"/>
      <w:bookmarkEnd w:id="0"/>
    </w:p>
    <w:p w14:paraId="1EBB0456" w14:textId="77777777" w:rsidR="00E036E4" w:rsidRDefault="00F707B0" w:rsidP="00E036E4">
      <w:pPr>
        <w:pStyle w:val="ListParagraph"/>
        <w:numPr>
          <w:ilvl w:val="0"/>
          <w:numId w:val="28"/>
        </w:numPr>
        <w:rPr>
          <w:b/>
        </w:rPr>
      </w:pPr>
      <w:r w:rsidRPr="0098635C">
        <w:rPr>
          <w:b/>
        </w:rPr>
        <w:t>AOB</w:t>
      </w:r>
    </w:p>
    <w:p w14:paraId="07A21E21" w14:textId="77777777" w:rsidR="00E036E4" w:rsidRDefault="00E036E4" w:rsidP="00E036E4">
      <w:pPr>
        <w:pStyle w:val="ListParagraph"/>
        <w:rPr>
          <w:b/>
        </w:rPr>
      </w:pPr>
    </w:p>
    <w:p w14:paraId="716A8504" w14:textId="71648BDF" w:rsidR="002D313F" w:rsidRPr="00BE549A" w:rsidRDefault="00D14320" w:rsidP="00E036E4">
      <w:pPr>
        <w:pStyle w:val="ListParagraph"/>
        <w:rPr>
          <w:color w:val="548DD4" w:themeColor="text2" w:themeTint="99"/>
        </w:rPr>
      </w:pPr>
      <w:r w:rsidRPr="0098635C">
        <w:t xml:space="preserve">The next </w:t>
      </w:r>
      <w:r w:rsidR="00E036E4">
        <w:t xml:space="preserve">coordination teleconference will take place in </w:t>
      </w:r>
      <w:r w:rsidR="0091226C">
        <w:t>June</w:t>
      </w:r>
      <w:r w:rsidR="00E036E4">
        <w:t xml:space="preserve"> 201</w:t>
      </w:r>
      <w:r w:rsidR="0091226C">
        <w:t>9</w:t>
      </w:r>
      <w:r w:rsidR="00E036E4">
        <w:t>.</w:t>
      </w:r>
    </w:p>
    <w:p w14:paraId="1E7DF107" w14:textId="77777777" w:rsidR="00C32A31" w:rsidRPr="0098635C" w:rsidRDefault="00C82DD4" w:rsidP="00FA6749">
      <w:pPr>
        <w:pStyle w:val="Contact"/>
        <w:jc w:val="right"/>
      </w:pPr>
      <w:r w:rsidRPr="0098635C">
        <w:t>Prepared by</w:t>
      </w:r>
      <w:r w:rsidR="00C32A31" w:rsidRPr="0098635C">
        <w:t>:</w:t>
      </w:r>
      <w:r w:rsidR="00C32A31" w:rsidRPr="0098635C">
        <w:br/>
      </w:r>
      <w:r w:rsidR="00EC14F7" w:rsidRPr="0098635C">
        <w:t xml:space="preserve">Olga </w:t>
      </w:r>
      <w:proofErr w:type="spellStart"/>
      <w:r w:rsidR="00EC14F7" w:rsidRPr="0098635C">
        <w:t>Tkachenko</w:t>
      </w:r>
      <w:proofErr w:type="spellEnd"/>
      <w:r w:rsidR="00C32A31" w:rsidRPr="0098635C">
        <w:t>,</w:t>
      </w:r>
      <w:r w:rsidRPr="0098635C">
        <w:t xml:space="preserve"> Paul </w:t>
      </w:r>
      <w:proofErr w:type="spellStart"/>
      <w:r w:rsidRPr="0098635C">
        <w:t>Piscoi</w:t>
      </w:r>
      <w:proofErr w:type="spellEnd"/>
      <w:r w:rsidR="00C32A31" w:rsidRPr="0098635C">
        <w:t xml:space="preserve"> GROW.D4</w:t>
      </w:r>
    </w:p>
    <w:sectPr w:rsidR="00C32A31" w:rsidRPr="0098635C" w:rsidSect="0098635C">
      <w:headerReference w:type="even" r:id="rId14"/>
      <w:headerReference w:type="default" r:id="rId15"/>
      <w:footerReference w:type="even" r:id="rId16"/>
      <w:footerReference w:type="default" r:id="rId17"/>
      <w:headerReference w:type="first" r:id="rId18"/>
      <w:footerReference w:type="first" r:id="rId19"/>
      <w:pgSz w:w="11906" w:h="16838"/>
      <w:pgMar w:top="1021" w:right="1134" w:bottom="1021" w:left="1418"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18ED" w14:textId="77777777" w:rsidR="008D5145" w:rsidRDefault="008D5145" w:rsidP="00C32A31">
      <w:r>
        <w:separator/>
      </w:r>
    </w:p>
  </w:endnote>
  <w:endnote w:type="continuationSeparator" w:id="0">
    <w:p w14:paraId="6C1130BB" w14:textId="77777777" w:rsidR="008D5145" w:rsidRDefault="008D5145" w:rsidP="00C3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B0D10" w14:textId="77777777" w:rsidR="000E374B" w:rsidRDefault="000E3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2A73" w14:textId="321D8D3C" w:rsidR="000343C9" w:rsidRDefault="00C32A31">
    <w:pPr>
      <w:pStyle w:val="Footer"/>
      <w:jc w:val="center"/>
    </w:pPr>
    <w:r>
      <w:fldChar w:fldCharType="begin"/>
    </w:r>
    <w:r>
      <w:instrText>PAGE</w:instrText>
    </w:r>
    <w:r>
      <w:fldChar w:fldCharType="separate"/>
    </w:r>
    <w:r w:rsidR="00FB13D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95F33" w14:textId="77777777" w:rsidR="000343C9" w:rsidRPr="00C32A31" w:rsidRDefault="00C32A31">
    <w:pPr>
      <w:pStyle w:val="Footer"/>
    </w:pPr>
    <w:r w:rsidRPr="00C32A31">
      <w:rPr>
        <w:lang w:val="fr-FR"/>
      </w:rPr>
      <w:t>Commission européenne/</w:t>
    </w:r>
    <w:proofErr w:type="spellStart"/>
    <w:r w:rsidRPr="00C32A31">
      <w:rPr>
        <w:lang w:val="fr-FR"/>
      </w:rPr>
      <w:t>Europese</w:t>
    </w:r>
    <w:proofErr w:type="spellEnd"/>
    <w:r w:rsidRPr="00C32A31">
      <w:rPr>
        <w:lang w:val="fr-FR"/>
      </w:rPr>
      <w:t xml:space="preserve"> </w:t>
    </w:r>
    <w:proofErr w:type="spellStart"/>
    <w:r w:rsidRPr="00C32A31">
      <w:rPr>
        <w:lang w:val="fr-FR"/>
      </w:rPr>
      <w:t>Commissie</w:t>
    </w:r>
    <w:proofErr w:type="spellEnd"/>
    <w:r w:rsidRPr="00C32A31">
      <w:rPr>
        <w:lang w:val="fr-FR"/>
      </w:rPr>
      <w:t xml:space="preserve">, 1049 Bruxelles/Brussel, BELGIQUE/BELGIË - Tel. </w:t>
    </w:r>
    <w:r w:rsidRPr="00C32A31">
      <w:t>+32 22991111</w:t>
    </w:r>
    <w:r w:rsidRPr="00C32A31">
      <w:rPr>
        <w:noProof/>
      </w:rPr>
      <w:br/>
    </w:r>
  </w:p>
  <w:p w14:paraId="2E45EDD0" w14:textId="77777777" w:rsidR="00C32A31" w:rsidRPr="005C651B" w:rsidRDefault="00C32A31">
    <w:pPr>
      <w:pStyle w:val="Footer"/>
      <w:rPr>
        <w:lang w:val="fr-BE"/>
      </w:rPr>
    </w:pPr>
    <w:proofErr w:type="gramStart"/>
    <w:r w:rsidRPr="005C651B">
      <w:rPr>
        <w:lang w:val="fr-BE"/>
      </w:rPr>
      <w:t>e-mail:</w:t>
    </w:r>
    <w:proofErr w:type="gramEnd"/>
    <w:r w:rsidRPr="005C651B">
      <w:rPr>
        <w:lang w:val="fr-BE"/>
      </w:rPr>
      <w:t xml:space="preserve"> </w:t>
    </w:r>
    <w:hyperlink r:id="rId1" w:history="1">
      <w:r w:rsidR="000E374B" w:rsidRPr="005C651B">
        <w:rPr>
          <w:rStyle w:val="Hyperlink"/>
          <w:lang w:val="fr-BE"/>
        </w:rPr>
        <w:t>GROW-D4@ec.europa.eu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831B9" w14:textId="77777777" w:rsidR="008D5145" w:rsidRDefault="008D5145" w:rsidP="00C32A31">
      <w:r>
        <w:separator/>
      </w:r>
    </w:p>
  </w:footnote>
  <w:footnote w:type="continuationSeparator" w:id="0">
    <w:p w14:paraId="4BB4E8B5" w14:textId="77777777" w:rsidR="008D5145" w:rsidRDefault="008D5145" w:rsidP="00C3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F599" w14:textId="77777777" w:rsidR="000E374B" w:rsidRDefault="000E3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659B" w14:textId="77777777" w:rsidR="000E374B" w:rsidRDefault="000E37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15A46" w14:textId="77777777" w:rsidR="000343C9" w:rsidRDefault="008D5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4"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 w15:restartNumberingAfterBreak="0">
    <w:nsid w:val="17F66F6D"/>
    <w:multiLevelType w:val="hybridMultilevel"/>
    <w:tmpl w:val="A39AC86A"/>
    <w:lvl w:ilvl="0" w:tplc="83F006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8"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EA5C4D"/>
    <w:multiLevelType w:val="hybridMultilevel"/>
    <w:tmpl w:val="FA96D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85D495D"/>
    <w:multiLevelType w:val="hybridMultilevel"/>
    <w:tmpl w:val="00DEAB6C"/>
    <w:lvl w:ilvl="0" w:tplc="463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1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0" w15:restartNumberingAfterBreak="0">
    <w:nsid w:val="61F245E1"/>
    <w:multiLevelType w:val="hybridMultilevel"/>
    <w:tmpl w:val="0AFCE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726766"/>
    <w:multiLevelType w:val="hybridMultilevel"/>
    <w:tmpl w:val="EC981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E956777"/>
    <w:multiLevelType w:val="hybridMultilevel"/>
    <w:tmpl w:val="1C461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8"/>
  </w:num>
  <w:num w:numId="4">
    <w:abstractNumId w:val="19"/>
  </w:num>
  <w:num w:numId="5">
    <w:abstractNumId w:val="11"/>
  </w:num>
  <w:num w:numId="6">
    <w:abstractNumId w:val="7"/>
  </w:num>
  <w:num w:numId="7">
    <w:abstractNumId w:val="4"/>
  </w:num>
  <w:num w:numId="8">
    <w:abstractNumId w:val="3"/>
  </w:num>
  <w:num w:numId="9">
    <w:abstractNumId w:val="22"/>
  </w:num>
  <w:num w:numId="10">
    <w:abstractNumId w:val="24"/>
  </w:num>
  <w:num w:numId="11">
    <w:abstractNumId w:val="23"/>
  </w:num>
  <w:num w:numId="12">
    <w:abstractNumId w:val="25"/>
  </w:num>
  <w:num w:numId="13">
    <w:abstractNumId w:val="6"/>
  </w:num>
  <w:num w:numId="14">
    <w:abstractNumId w:val="12"/>
  </w:num>
  <w:num w:numId="15">
    <w:abstractNumId w:val="14"/>
  </w:num>
  <w:num w:numId="16">
    <w:abstractNumId w:val="13"/>
  </w:num>
  <w:num w:numId="17">
    <w:abstractNumId w:val="2"/>
  </w:num>
  <w:num w:numId="18">
    <w:abstractNumId w:val="16"/>
  </w:num>
  <w:num w:numId="19">
    <w:abstractNumId w:val="8"/>
  </w:num>
  <w:num w:numId="20">
    <w:abstractNumId w:val="17"/>
  </w:num>
  <w:num w:numId="21">
    <w:abstractNumId w:val="9"/>
  </w:num>
  <w:num w:numId="22">
    <w:abstractNumId w:val="8"/>
  </w:num>
  <w:num w:numId="23">
    <w:abstractNumId w:val="8"/>
  </w:num>
  <w:num w:numId="24">
    <w:abstractNumId w:val="8"/>
  </w:num>
  <w:num w:numId="25">
    <w:abstractNumId w:val="8"/>
  </w:num>
  <w:num w:numId="26">
    <w:abstractNumId w:val="8"/>
  </w:num>
  <w:num w:numId="27">
    <w:abstractNumId w:val="8"/>
  </w:num>
  <w:num w:numId="28">
    <w:abstractNumId w:val="21"/>
  </w:num>
  <w:num w:numId="29">
    <w:abstractNumId w:val="26"/>
  </w:num>
  <w:num w:numId="30">
    <w:abstractNumId w:val="20"/>
  </w:num>
  <w:num w:numId="31">
    <w:abstractNumId w:val="5"/>
  </w:num>
  <w:num w:numId="32">
    <w:abstractNumId w:val="15"/>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wMDY3MTQGMwyVdJSCU4uLM/PzQAoMawHhGtJWLAAAAA=="/>
    <w:docVar w:name="LW_DocType" w:val="NOT"/>
  </w:docVars>
  <w:rsids>
    <w:rsidRoot w:val="00C32A31"/>
    <w:rsid w:val="00027B97"/>
    <w:rsid w:val="0005331E"/>
    <w:rsid w:val="00062D89"/>
    <w:rsid w:val="00074FBA"/>
    <w:rsid w:val="000941FE"/>
    <w:rsid w:val="000A4285"/>
    <w:rsid w:val="000A5A81"/>
    <w:rsid w:val="000E2765"/>
    <w:rsid w:val="000E374B"/>
    <w:rsid w:val="000F2CEF"/>
    <w:rsid w:val="001329FC"/>
    <w:rsid w:val="00155B81"/>
    <w:rsid w:val="001A73BE"/>
    <w:rsid w:val="001C5313"/>
    <w:rsid w:val="00252748"/>
    <w:rsid w:val="002D042E"/>
    <w:rsid w:val="002D1C86"/>
    <w:rsid w:val="002D313F"/>
    <w:rsid w:val="002E5384"/>
    <w:rsid w:val="00300AB7"/>
    <w:rsid w:val="003454E4"/>
    <w:rsid w:val="003528BB"/>
    <w:rsid w:val="00377A7B"/>
    <w:rsid w:val="00382CF8"/>
    <w:rsid w:val="00453EE0"/>
    <w:rsid w:val="00495FF2"/>
    <w:rsid w:val="004A60F9"/>
    <w:rsid w:val="004B13F2"/>
    <w:rsid w:val="004E4B2C"/>
    <w:rsid w:val="004E4E95"/>
    <w:rsid w:val="005848FE"/>
    <w:rsid w:val="0059099C"/>
    <w:rsid w:val="00596A41"/>
    <w:rsid w:val="005B1363"/>
    <w:rsid w:val="005C3294"/>
    <w:rsid w:val="005C651B"/>
    <w:rsid w:val="005E0A6C"/>
    <w:rsid w:val="006051FE"/>
    <w:rsid w:val="006166C7"/>
    <w:rsid w:val="00616ACB"/>
    <w:rsid w:val="00623B37"/>
    <w:rsid w:val="006D0970"/>
    <w:rsid w:val="007139B0"/>
    <w:rsid w:val="00722803"/>
    <w:rsid w:val="00740BE6"/>
    <w:rsid w:val="0074734A"/>
    <w:rsid w:val="00780258"/>
    <w:rsid w:val="00783751"/>
    <w:rsid w:val="00796127"/>
    <w:rsid w:val="007B5FB2"/>
    <w:rsid w:val="007D1349"/>
    <w:rsid w:val="007E0982"/>
    <w:rsid w:val="0080728D"/>
    <w:rsid w:val="008325F9"/>
    <w:rsid w:val="00856DEC"/>
    <w:rsid w:val="00872749"/>
    <w:rsid w:val="00891241"/>
    <w:rsid w:val="008D5145"/>
    <w:rsid w:val="00904EC8"/>
    <w:rsid w:val="00911635"/>
    <w:rsid w:val="0091226C"/>
    <w:rsid w:val="00914985"/>
    <w:rsid w:val="0093699A"/>
    <w:rsid w:val="00937BF6"/>
    <w:rsid w:val="0097060B"/>
    <w:rsid w:val="0098635C"/>
    <w:rsid w:val="009D113F"/>
    <w:rsid w:val="009E1C6F"/>
    <w:rsid w:val="00A36AF5"/>
    <w:rsid w:val="00A41982"/>
    <w:rsid w:val="00A56299"/>
    <w:rsid w:val="00A7315E"/>
    <w:rsid w:val="00A821EE"/>
    <w:rsid w:val="00A90A83"/>
    <w:rsid w:val="00AA21F0"/>
    <w:rsid w:val="00AB1CE0"/>
    <w:rsid w:val="00AD205E"/>
    <w:rsid w:val="00AD54F7"/>
    <w:rsid w:val="00B377E3"/>
    <w:rsid w:val="00B404C9"/>
    <w:rsid w:val="00B76B86"/>
    <w:rsid w:val="00B862B6"/>
    <w:rsid w:val="00BB1C38"/>
    <w:rsid w:val="00BB2327"/>
    <w:rsid w:val="00BE549A"/>
    <w:rsid w:val="00C0765D"/>
    <w:rsid w:val="00C20370"/>
    <w:rsid w:val="00C32A31"/>
    <w:rsid w:val="00C51456"/>
    <w:rsid w:val="00C82DD4"/>
    <w:rsid w:val="00C864C7"/>
    <w:rsid w:val="00C91D17"/>
    <w:rsid w:val="00C93BB3"/>
    <w:rsid w:val="00CF3951"/>
    <w:rsid w:val="00D14320"/>
    <w:rsid w:val="00D15B3D"/>
    <w:rsid w:val="00D424F1"/>
    <w:rsid w:val="00D43546"/>
    <w:rsid w:val="00D713D2"/>
    <w:rsid w:val="00D742A8"/>
    <w:rsid w:val="00D97675"/>
    <w:rsid w:val="00DD4A82"/>
    <w:rsid w:val="00E036E4"/>
    <w:rsid w:val="00E11B59"/>
    <w:rsid w:val="00E14E7B"/>
    <w:rsid w:val="00E40002"/>
    <w:rsid w:val="00E51CFB"/>
    <w:rsid w:val="00E6573A"/>
    <w:rsid w:val="00E84C8B"/>
    <w:rsid w:val="00E93971"/>
    <w:rsid w:val="00EB3058"/>
    <w:rsid w:val="00EC14F7"/>
    <w:rsid w:val="00ED327B"/>
    <w:rsid w:val="00EF0260"/>
    <w:rsid w:val="00F01508"/>
    <w:rsid w:val="00F02F77"/>
    <w:rsid w:val="00F707B0"/>
    <w:rsid w:val="00F813D3"/>
    <w:rsid w:val="00F81C94"/>
    <w:rsid w:val="00F82845"/>
    <w:rsid w:val="00FA6749"/>
    <w:rsid w:val="00FB13DE"/>
    <w:rsid w:val="00FF5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CAB21"/>
  <w15:docId w15:val="{28DD54D0-CE18-456B-B6E1-45DAEDA9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F7"/>
    <w:pPr>
      <w:jc w:val="both"/>
    </w:pPr>
    <w:rPr>
      <w:sz w:val="24"/>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link w:val="SignatureChar"/>
    <w:uiPriority w:val="99"/>
    <w:pPr>
      <w:tabs>
        <w:tab w:val="left" w:pos="5103"/>
      </w:tabs>
      <w:spacing w:before="1200"/>
      <w:ind w:left="5103"/>
      <w:jc w:val="center"/>
    </w:pPr>
  </w:style>
  <w:style w:type="paragraph" w:customStyle="1" w:styleId="Enclosures">
    <w:name w:val="Enclosures"/>
    <w:basedOn w:val="Normal"/>
    <w:next w:val="Participants"/>
    <w:pPr>
      <w:keepNext/>
      <w:keepLines/>
      <w:tabs>
        <w:tab w:val="left" w:pos="5670"/>
      </w:tabs>
      <w:spacing w:before="48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ind w:left="1985" w:hanging="1985"/>
      <w:jc w:val="left"/>
    </w:pPr>
  </w:style>
  <w:style w:type="paragraph" w:styleId="CommentText">
    <w:name w:val="annotation text"/>
    <w:basedOn w:val="Normal"/>
    <w:link w:val="CommentTextChar"/>
    <w:semiHidden/>
    <w:rPr>
      <w:sz w:val="20"/>
    </w:rPr>
  </w:style>
  <w:style w:type="paragraph" w:styleId="Date">
    <w:name w:val="Date"/>
    <w:basedOn w:val="Normal"/>
    <w:next w:val="References"/>
    <w:link w:val="DateChar"/>
    <w:uiPriority w:val="99"/>
    <w:pPr>
      <w:ind w:left="5103" w:right="-567"/>
      <w:jc w:val="left"/>
    </w:pPr>
  </w:style>
  <w:style w:type="paragraph" w:customStyle="1" w:styleId="References">
    <w:name w:val="References"/>
    <w:basedOn w:val="Normal"/>
    <w:next w:val="AddressTR"/>
    <w:uiPriority w:val="99"/>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pPr>
  </w:style>
  <w:style w:type="paragraph" w:styleId="EnvelopeReturn">
    <w:name w:val="envelope return"/>
    <w:basedOn w:val="Normal"/>
    <w:rPr>
      <w:sz w:val="20"/>
    </w:rPr>
  </w:style>
  <w:style w:type="paragraph" w:styleId="Footer">
    <w:name w:val="footer"/>
    <w:basedOn w:val="Normal"/>
    <w:link w:val="FooterChar"/>
    <w:uiPriority w:val="99"/>
    <w:pPr>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uiPriority w:val="99"/>
    <w:pPr>
      <w:spacing w:before="48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pPr>
    <w:rPr>
      <w:i/>
    </w:rPr>
  </w:style>
  <w:style w:type="character" w:styleId="FollowedHyperlink">
    <w:name w:val="FollowedHyperlink"/>
    <w:rPr>
      <w:color w:val="800080"/>
      <w:u w:val="single"/>
    </w:rPr>
  </w:style>
  <w:style w:type="paragraph" w:customStyle="1" w:styleId="DisclaimerSJ">
    <w:name w:val="Disclaimer_SJ"/>
    <w:basedOn w:val="Normal"/>
    <w:next w:val="Normal"/>
    <w:rPr>
      <w:rFonts w:ascii="Arial" w:hAnsi="Arial"/>
      <w:b/>
      <w:sz w:val="16"/>
    </w:rPr>
  </w:style>
  <w:style w:type="paragraph" w:customStyle="1" w:styleId="Designator">
    <w:name w:val="Designator"/>
    <w:basedOn w:val="Normal"/>
    <w:pPr>
      <w:jc w:val="center"/>
    </w:pPr>
    <w:rPr>
      <w:b/>
      <w:caps/>
      <w:sz w:val="32"/>
    </w:rPr>
  </w:style>
  <w:style w:type="paragraph" w:customStyle="1" w:styleId="Releasable">
    <w:name w:val="Releasable"/>
    <w:basedOn w:val="Normal"/>
    <w:qFormat/>
    <w:pPr>
      <w:jc w:val="center"/>
    </w:pPr>
    <w:rPr>
      <w:b/>
      <w:caps/>
      <w:sz w:val="32"/>
      <w:lang w:val="de-DE"/>
    </w:rPr>
  </w:style>
  <w:style w:type="paragraph" w:customStyle="1" w:styleId="RUE">
    <w:name w:val="RUE"/>
    <w:basedOn w:val="Normal"/>
    <w:pPr>
      <w:jc w:val="center"/>
    </w:pPr>
    <w:rPr>
      <w:b/>
      <w:caps/>
      <w:sz w:val="32"/>
      <w:bdr w:val="single" w:sz="18" w:space="0" w:color="auto"/>
      <w:lang w:val="de-DE"/>
    </w:rPr>
  </w:style>
  <w:style w:type="paragraph" w:customStyle="1" w:styleId="ConfidentialUE">
    <w:name w:val="Confidential UE"/>
    <w:basedOn w:val="Normal"/>
    <w:pPr>
      <w:jc w:val="center"/>
    </w:pPr>
    <w:rPr>
      <w:b/>
      <w:caps/>
      <w:sz w:val="32"/>
      <w:bdr w:val="single" w:sz="18" w:space="0" w:color="auto"/>
    </w:rPr>
  </w:style>
  <w:style w:type="paragraph" w:customStyle="1" w:styleId="TrsSecretUE">
    <w:name w:val="Très Secret UE"/>
    <w:basedOn w:val="Normal"/>
    <w:pPr>
      <w:jc w:val="center"/>
    </w:pPr>
    <w:rPr>
      <w:b/>
      <w:caps/>
      <w:color w:val="FF0000"/>
      <w:sz w:val="32"/>
      <w:bdr w:val="single" w:sz="18" w:space="0" w:color="FF0000"/>
    </w:rPr>
  </w:style>
  <w:style w:type="paragraph" w:customStyle="1" w:styleId="SecretUE">
    <w:name w:val="Secret UE"/>
    <w:basedOn w:val="Normal"/>
    <w:pPr>
      <w:jc w:val="center"/>
    </w:pPr>
    <w:rPr>
      <w:b/>
      <w:caps/>
      <w:color w:val="FF0000"/>
      <w:sz w:val="32"/>
      <w:bdr w:val="single" w:sz="18" w:space="0" w:color="FF0000"/>
    </w:rPr>
  </w:style>
  <w:style w:type="paragraph" w:customStyle="1" w:styleId="LegalNumPar">
    <w:name w:val="LegalNumPar"/>
    <w:basedOn w:val="Normal"/>
    <w:pPr>
      <w:numPr>
        <w:numId w:val="27"/>
      </w:numPr>
      <w:spacing w:line="360" w:lineRule="auto"/>
      <w:jc w:val="left"/>
    </w:pPr>
    <w:rPr>
      <w:rFonts w:eastAsiaTheme="minorHAnsi"/>
      <w:szCs w:val="22"/>
    </w:rPr>
  </w:style>
  <w:style w:type="paragraph" w:customStyle="1" w:styleId="LegalNumPar2">
    <w:name w:val="LegalNumPar2"/>
    <w:basedOn w:val="Normal"/>
    <w:pPr>
      <w:numPr>
        <w:ilvl w:val="1"/>
        <w:numId w:val="27"/>
      </w:numPr>
      <w:spacing w:line="360" w:lineRule="auto"/>
      <w:jc w:val="left"/>
    </w:pPr>
    <w:rPr>
      <w:rFonts w:eastAsiaTheme="minorHAnsi"/>
      <w:szCs w:val="22"/>
    </w:rPr>
  </w:style>
  <w:style w:type="paragraph" w:customStyle="1" w:styleId="LegalNumPar3">
    <w:name w:val="LegalNumPar3"/>
    <w:basedOn w:val="Normal"/>
    <w:pPr>
      <w:numPr>
        <w:ilvl w:val="2"/>
        <w:numId w:val="27"/>
      </w:numPr>
      <w:spacing w:line="360" w:lineRule="auto"/>
      <w:jc w:val="left"/>
    </w:pPr>
    <w:rPr>
      <w:rFonts w:eastAsiaTheme="minorHAnsi"/>
      <w:szCs w:val="22"/>
    </w:rPr>
  </w:style>
  <w:style w:type="character" w:customStyle="1" w:styleId="FooterChar">
    <w:name w:val="Footer Char"/>
    <w:basedOn w:val="DefaultParagraphFont"/>
    <w:link w:val="Footer"/>
    <w:uiPriority w:val="99"/>
    <w:locked/>
    <w:rsid w:val="00C32A31"/>
    <w:rPr>
      <w:rFonts w:ascii="Arial" w:hAnsi="Arial"/>
      <w:sz w:val="16"/>
      <w:lang w:eastAsia="en-US"/>
    </w:rPr>
  </w:style>
  <w:style w:type="character" w:customStyle="1" w:styleId="DateChar">
    <w:name w:val="Date Char"/>
    <w:basedOn w:val="DefaultParagraphFont"/>
    <w:link w:val="Date"/>
    <w:uiPriority w:val="99"/>
    <w:locked/>
    <w:rsid w:val="00C32A31"/>
    <w:rPr>
      <w:sz w:val="24"/>
      <w:lang w:eastAsia="en-US"/>
    </w:rPr>
  </w:style>
  <w:style w:type="character" w:customStyle="1" w:styleId="SignatureChar">
    <w:name w:val="Signature Char"/>
    <w:basedOn w:val="DefaultParagraphFont"/>
    <w:link w:val="Signature"/>
    <w:uiPriority w:val="99"/>
    <w:locked/>
    <w:rsid w:val="00C32A31"/>
    <w:rPr>
      <w:sz w:val="24"/>
      <w:lang w:eastAsia="en-US"/>
    </w:rPr>
  </w:style>
  <w:style w:type="paragraph" w:customStyle="1" w:styleId="ZCom">
    <w:name w:val="Z_Com"/>
    <w:basedOn w:val="Normal"/>
    <w:next w:val="ZDGName"/>
    <w:uiPriority w:val="99"/>
    <w:rsid w:val="00C32A31"/>
    <w:pPr>
      <w:widowControl w:val="0"/>
      <w:autoSpaceDE w:val="0"/>
      <w:autoSpaceDN w:val="0"/>
      <w:ind w:right="85"/>
    </w:pPr>
    <w:rPr>
      <w:rFonts w:ascii="Arial" w:eastAsiaTheme="minorEastAsia" w:hAnsi="Arial" w:cs="Arial"/>
      <w:szCs w:val="24"/>
      <w:lang w:eastAsia="en-GB"/>
    </w:rPr>
  </w:style>
  <w:style w:type="paragraph" w:customStyle="1" w:styleId="ZDGName">
    <w:name w:val="Z_DGName"/>
    <w:basedOn w:val="Normal"/>
    <w:uiPriority w:val="99"/>
    <w:rsid w:val="00C32A31"/>
    <w:pPr>
      <w:widowControl w:val="0"/>
      <w:autoSpaceDE w:val="0"/>
      <w:autoSpaceDN w:val="0"/>
      <w:ind w:right="85"/>
      <w:jc w:val="left"/>
    </w:pPr>
    <w:rPr>
      <w:rFonts w:ascii="Arial" w:eastAsiaTheme="minorEastAsia" w:hAnsi="Arial" w:cs="Arial"/>
      <w:sz w:val="16"/>
      <w:szCs w:val="16"/>
      <w:lang w:eastAsia="en-GB"/>
    </w:rPr>
  </w:style>
  <w:style w:type="character" w:customStyle="1" w:styleId="HeaderChar">
    <w:name w:val="Header Char"/>
    <w:basedOn w:val="DefaultParagraphFont"/>
    <w:link w:val="Header"/>
    <w:uiPriority w:val="99"/>
    <w:locked/>
    <w:rsid w:val="00C32A31"/>
    <w:rPr>
      <w:sz w:val="24"/>
      <w:lang w:eastAsia="en-US"/>
    </w:rPr>
  </w:style>
  <w:style w:type="character" w:styleId="Hyperlink">
    <w:name w:val="Hyperlink"/>
    <w:basedOn w:val="DefaultParagraphFont"/>
    <w:uiPriority w:val="99"/>
    <w:unhideWhenUsed/>
    <w:rsid w:val="00C32A31"/>
    <w:rPr>
      <w:color w:val="0000FF" w:themeColor="hyperlink"/>
      <w:u w:val="single"/>
    </w:rPr>
  </w:style>
  <w:style w:type="table" w:styleId="TableGrid">
    <w:name w:val="Table Grid"/>
    <w:basedOn w:val="TableNormal"/>
    <w:uiPriority w:val="59"/>
    <w:rsid w:val="00E8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4F7"/>
    <w:pPr>
      <w:ind w:left="720"/>
      <w:contextualSpacing/>
    </w:pPr>
  </w:style>
  <w:style w:type="character" w:styleId="CommentReference">
    <w:name w:val="annotation reference"/>
    <w:basedOn w:val="DefaultParagraphFont"/>
    <w:uiPriority w:val="99"/>
    <w:semiHidden/>
    <w:unhideWhenUsed/>
    <w:rsid w:val="00A7315E"/>
    <w:rPr>
      <w:sz w:val="16"/>
      <w:szCs w:val="16"/>
    </w:rPr>
  </w:style>
  <w:style w:type="paragraph" w:styleId="CommentSubject">
    <w:name w:val="annotation subject"/>
    <w:basedOn w:val="CommentText"/>
    <w:next w:val="CommentText"/>
    <w:link w:val="CommentSubjectChar"/>
    <w:uiPriority w:val="99"/>
    <w:semiHidden/>
    <w:unhideWhenUsed/>
    <w:rsid w:val="00A7315E"/>
    <w:rPr>
      <w:b/>
      <w:bCs/>
    </w:rPr>
  </w:style>
  <w:style w:type="character" w:customStyle="1" w:styleId="CommentTextChar">
    <w:name w:val="Comment Text Char"/>
    <w:basedOn w:val="DefaultParagraphFont"/>
    <w:link w:val="CommentText"/>
    <w:semiHidden/>
    <w:rsid w:val="00A7315E"/>
    <w:rPr>
      <w:lang w:eastAsia="en-US"/>
    </w:rPr>
  </w:style>
  <w:style w:type="character" w:customStyle="1" w:styleId="CommentSubjectChar">
    <w:name w:val="Comment Subject Char"/>
    <w:basedOn w:val="CommentTextChar"/>
    <w:link w:val="CommentSubject"/>
    <w:uiPriority w:val="99"/>
    <w:semiHidden/>
    <w:rsid w:val="00A7315E"/>
    <w:rPr>
      <w:b/>
      <w:bCs/>
      <w:lang w:eastAsia="en-US"/>
    </w:rPr>
  </w:style>
  <w:style w:type="paragraph" w:styleId="BalloonText">
    <w:name w:val="Balloon Text"/>
    <w:basedOn w:val="Normal"/>
    <w:link w:val="BalloonTextChar"/>
    <w:uiPriority w:val="99"/>
    <w:semiHidden/>
    <w:unhideWhenUsed/>
    <w:rsid w:val="00A7315E"/>
    <w:rPr>
      <w:rFonts w:ascii="Tahoma" w:hAnsi="Tahoma" w:cs="Tahoma"/>
      <w:sz w:val="16"/>
      <w:szCs w:val="16"/>
    </w:rPr>
  </w:style>
  <w:style w:type="character" w:customStyle="1" w:styleId="BalloonTextChar">
    <w:name w:val="Balloon Text Char"/>
    <w:basedOn w:val="DefaultParagraphFont"/>
    <w:link w:val="BalloonText"/>
    <w:uiPriority w:val="99"/>
    <w:semiHidden/>
    <w:rsid w:val="00A7315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ROW-D4-BCWG@ec.europa.e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ROW-D4-BCWG@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growth/sectors/medical-devices/new-regulations/dialogue-interested-parties_e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GROW-D4@ec.europa.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xts>
  <SecurityPersonalData>Personal data</SecurityPersonalData>
  <SecurityLimitedDG>Limited</SecurityLimitedDG>
  <OpeningMembersOfParliament2>Sir/Madam,</OpeningMembersOfParliament2>
  <OpeningAmbassadors2>Sir/Madam, </OpeningAmbassadors2>
  <SecurityPharma>Pharma investigations</SecurityPharma>
  <OpeningMinisters3>Dear Home Secretary,</OpeningMinisters3>
  <SecurityMediationServiceMatter>Mediation Service matter</SecurityMediationServiceMatter>
  <SecurityDeadline>Deadline</SecurityDeadline>
  <OpeningIndividualsPlural>Dear Sir, </OpeningIndividualsPlural>
  <SecurityEconomyAndFinance>Economy and finance – special handling</SecurityEconomyAndFinance>
  <FooterFax>Fax</FooterFax>
  <OpeningAmbassadors>[Your] Excellency,</OpeningAmbassadors>
  <ClosingSecretariesGeneral>I have the honour to be, Sir/Madam, Yours faithfully,</ClosingSecretariesGeneral>
  <NoteCopy>c.c.:</NoteCopy>
  <OpeningMinisters>Sir/Madam/My Lord, </OpeningMinisters>
  <OpeningIndividualsLessFormal>Dear Mr/Mrs/Ms/Dr [surname],</OpeningIndividualsLessFormal>
  <FooterOffice>Office:</FooterOffice>
  <SecurityOlafInvestigations>OLAF investigations</SecurityOlafInvestigations>
  <ClosingHeadsOfGovernment2>Yours faithfully, </ClosingHeadsOfGovernment2>
  <NoteReference>Ref.:</NoteReference>
  <Closing>Yours faithfully, </Closing>
  <ClosingMinisters2>Yours faithfully, </ClosingMinisters2>
  <OpeningAmbassadors3>Dear Ambassador, </OpeningAmbassadors3>
  <ClosingAmbassadors2>Yours faithfully,</ClosingAmbassadors2>
  <SecurityInternal>Commission internal</SecurityInternal>
  <SecurityOlafSpecialHandling>OLAF investigations – special handling</SecurityOlafSpecialHandling>
  <NoteParticipants>Participants:</NoteParticipants>
  <ClosingMembersOfParliament2>Yours faithfully, </ClosingMembersOfParliament2>
  <SecurityPersonal>Personal</SecurityPersonal>
  <CourtProceduralDocuments>Court procedural documents</CourtProceduralDocuments>
  <ClosingPresidentsEUInst>Yours faithfully, </ClosingPresidentsEUInst>
  <OpeningPresidentsEUInst2>Dear Mr/Madam President,</OpeningPresidentsEUInst2>
  <SecurityCompOperationsHandling>Handling instructions are provided by the DG COMP (comp-lso@ec.europa.eu)</SecurityCompOperationsHandling>
  <NoteParticipant>Participant:</NoteParticipant>
  <ClosingMinisters3>Yours sincerely, </ClosingMinisters3>
  <OpeningMinisters2>Dear Minister,</OpeningMinisters2>
  <OpeningMinisters4>Dear Mr/Ms [surname],</OpeningMinisters4>
  <OrgaRoot>EUROPEAN COMMISSION</OrgaRoot>
  <NoteCopies>c.c.:</NoteCopies>
  <ClosingAmbassadors>I have the honour to be, Sir/Madam, Yours faithfully,</ClosingAmbassadors>
  <ClosingMembersOfParliament>Yours faithfully,</ClosingMembersOfParliament>
  <NoteSubject>Subject:</NoteSubject>
  <Contact>Contact:</Contact>
  <ClosingPresidentsEUInst3>Yours faithfully, </ClosingPresidentsEUInst3>
  <ClosingHeadsOfGovernment>I remain, Sir/Madam, Yours faithfully, </ClosingHeadsOfGovernment>
  <OpeningHeadsOfGovernment2>Dear Prime Minister, </OpeningHeadsOfGovernment2>
  <Closing2>Yours sincerely, </Closing2>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ClosingMinisters>I remain [or I am], Sir/Madam/My Lord, Yours faithfully,</ClosingMinisters>
  <SecurityEtsLimited>ETS limited</SecurityEtsLimited>
  <ClosingHeadsOfState>I have the honour to be, Sir/Madam, Yours faithfully,</ClosingHeadsOfState>
  <SecurityStaffMatter>Staff matter</SecurityStaffMatter>
  <SecurityOpinionLegalService>Opinion of the Legal Service</SecurityOpinionLegalService>
  <OpeningSecretariesGeneral>Sir/Madam,</OpeningSecretariesGeneral>
  <SecurityEtsSensitive>ETS sensitive</SecurityEtsSensitive>
  <OpeningHeadsOfState3>Madam President,</OpeningHeadsOfState3>
  <OpeningIndividualsFormal>Dear Madam,</OpeningIndividualsFormal>
  <OpeningMembersOfParliament>Dear Mr/Mrs [surname],</OpeningMembersOfParliament>
  <SecurityEtsCritical>ETS critical</SecurityEtsCritical>
  <SecurityCompSpecial>COMP - special handling</SecurityCompSpecial>
  <OpeningPresidentsEUInst>Dear Mr/Madam President,</OpeningPresidentsEUInst>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OpeningHeadsOfState2>Mr President,</OpeningHeadsOfState2>
  <FooterPhone>Tel. direct line</FooterPhone>
  <OpeningHeadsOfGovernment>Excellency,</OpeningHeadsOfGovernment>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losingHeadsOfState2>Yours faithfully, </ClosingHeadsOfState2>
  <Contacts>Contacts:</Contacts>
  <ClosingPresidentsEUInst2>Yours faithfully, </ClosingPresidentsEUInst2>
  <OpeningHeadsOfState>Excellency,</OpeningHeadsOfState>
  <SecurityEmbargo>Embargo until</SecurityEmbargo>
  <ClosingSecretariesGeneral2>Yours faithfully, </ClosingSecretariesGeneral2>
  <SecurityLimited>Limited</SecurityLimited>
  <DateFormatShort>dd/MM/yyyy</DateFormatShort>
  <DateFormatLong>d MMMM yyyy</DateFormatLong>
</Texts>
</file>

<file path=customXml/item2.xml><?xml version="1.0" encoding="utf-8"?>
<EurolookProperties>
  <Created>
    <Version>4.6</Version>
    <Date>2018-06-20T14:35:39</Date>
    <Language>EN</Language>
  </Created>
  <Edited>
    <Version>10.0.37611.0</Version>
    <Date>2018-10-19T12:42:21</Date>
  </Edited>
  <DocumentModel>
    <Id>a68dca3e-24ca-4dba-8741-3c79d129d370</Id>
    <Name>Letter</Name>
  </DocumentModel>
  <DocumentDate/>
  <DocumentVersion/>
  <CompatibilityMode>Eurolook4x</CompatibilityMode>
  <Address/>
</EurolookProperties>
</file>

<file path=customXml/item3.xml><?xml version="1.0" encoding="utf-8"?>
<Author Role="Creator">
  <Id>ee50764d-786f-4db2-a10d-e04c8c367020</Id>
  <Names>
    <Latin>
      <FirstName/>
      <LastName/>
    </Latin>
    <Greek>
      <FirstName/>
      <LastName/>
    </Greek>
    <Cyrillic>
      <FirstName/>
      <LastName/>
    </Cyrillic>
    <DocumentScript>
      <FirstName/>
      <LastName/>
      <FullName/>
    </DocumentScript>
  </Names>
  <Initials/>
  <Gender>f</Gender>
  <Email>Monika.SCHMITTECKERT@ec.europa.eu</Email>
  <Service>GROW.D.4</Service>
  <Function/>
  <WebAddress/>
  <InheritedWebAddress/>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f03b5801-04c9-4931-aa17-c6d6c70bc579</AddressId>
    <Fax/>
    <Phone>+32 229 74811</Phone>
    <Office>BREY 12/054</Office>
  </MainWorkplace>
  <Workplaces>
    <Workplace IsMain="false">
      <AddressId>1264fb81-f6bb-475e-9f9d-a937d3be6ee2</AddressId>
      <Fax/>
      <Phone/>
      <Office/>
    </Workplace>
    <Workplace IsMain="true">
      <AddressId>f03b5801-04c9-4931-aa17-c6d6c70bc579</AddressId>
      <Fax/>
      <Phone>+32 229 74811</Phone>
      <Office>BREY 12/054</Office>
    </Workplace>
  </Workplaces>
</Author>
</file>

<file path=customXml/itemProps1.xml><?xml version="1.0" encoding="utf-8"?>
<ds:datastoreItem xmlns:ds="http://schemas.openxmlformats.org/officeDocument/2006/customXml" ds:itemID="{F8E75C40-FD33-4C4C-900D-1F22085F0071}">
  <ds:schemaRefs/>
</ds:datastoreItem>
</file>

<file path=customXml/itemProps2.xml><?xml version="1.0" encoding="utf-8"?>
<ds:datastoreItem xmlns:ds="http://schemas.openxmlformats.org/officeDocument/2006/customXml" ds:itemID="{666094EC-5E9B-4CA0-A42E-022AF027D553}">
  <ds:schemaRefs/>
</ds:datastoreItem>
</file>

<file path=customXml/itemProps3.xml><?xml version="1.0" encoding="utf-8"?>
<ds:datastoreItem xmlns:ds="http://schemas.openxmlformats.org/officeDocument/2006/customXml" ds:itemID="{C7C60B24-9997-4F3C-9C40-A252D521A1DD}">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796</Words>
  <Characters>4543</Characters>
  <Application>Microsoft Office Word</Application>
  <DocSecurity>0</DocSecurity>
  <PresentationFormat>Microsoft Word 14.0</PresentationFormat>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Salvatore D'Acunto</dc:creator>
  <cp:keywords>EL4</cp:keywords>
  <cp:lastModifiedBy>Laurent Louette</cp:lastModifiedBy>
  <cp:revision>2</cp:revision>
  <dcterms:created xsi:type="dcterms:W3CDTF">2019-04-16T10:22:00Z</dcterms:created>
  <dcterms:modified xsi:type="dcterms:W3CDTF">2019-04-16T10:22:00Z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Salvatore D'Acunto</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