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C252B" w14:textId="48F91411" w:rsidR="00AD7C19" w:rsidRDefault="00AD7C19" w:rsidP="002651FB">
      <w:pPr>
        <w:spacing w:before="240" w:after="0"/>
        <w:ind w:left="0"/>
        <w:jc w:val="center"/>
        <w:rPr>
          <w:color w:val="2683C6" w:themeColor="accent2"/>
          <w:sz w:val="32"/>
        </w:rPr>
      </w:pPr>
    </w:p>
    <w:p w14:paraId="6754115A" w14:textId="1683A06D" w:rsidR="0005461C" w:rsidRDefault="00E36C3C" w:rsidP="002651FB">
      <w:pPr>
        <w:spacing w:after="0" w:line="240" w:lineRule="auto"/>
        <w:ind w:left="0"/>
        <w:jc w:val="left"/>
        <w:rPr>
          <w:color w:val="2683C6" w:themeColor="accent2"/>
          <w:sz w:val="32"/>
        </w:rPr>
      </w:pPr>
      <w:bookmarkStart w:id="0" w:name="_GoBack"/>
      <w:r>
        <w:rPr>
          <w:noProof/>
          <w:color w:val="2683C6" w:themeColor="accent2"/>
          <w:sz w:val="32"/>
        </w:rPr>
        <w:drawing>
          <wp:anchor distT="0" distB="0" distL="114300" distR="114300" simplePos="0" relativeHeight="251662336" behindDoc="1" locked="0" layoutInCell="1" allowOverlap="1" wp14:anchorId="2F6910DA" wp14:editId="006E1431">
            <wp:simplePos x="0" y="0"/>
            <wp:positionH relativeFrom="column">
              <wp:posOffset>1276292</wp:posOffset>
            </wp:positionH>
            <wp:positionV relativeFrom="paragraph">
              <wp:posOffset>133119</wp:posOffset>
            </wp:positionV>
            <wp:extent cx="3810000" cy="2865084"/>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ST4RD logo.png"/>
                    <pic:cNvPicPr/>
                  </pic:nvPicPr>
                  <pic:blipFill rotWithShape="1">
                    <a:blip r:embed="rId8"/>
                    <a:srcRect l="7280" r="6509"/>
                    <a:stretch/>
                  </pic:blipFill>
                  <pic:spPr bwMode="auto">
                    <a:xfrm>
                      <a:off x="0" y="0"/>
                      <a:ext cx="3810000" cy="28650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DE29AF">
        <w:rPr>
          <w:noProof/>
          <w:color w:val="2683C6" w:themeColor="accent2"/>
          <w:sz w:val="32"/>
        </w:rPr>
        <mc:AlternateContent>
          <mc:Choice Requires="wps">
            <w:drawing>
              <wp:anchor distT="0" distB="0" distL="114300" distR="114300" simplePos="0" relativeHeight="251660288" behindDoc="0" locked="0" layoutInCell="1" allowOverlap="1" wp14:anchorId="4666C295" wp14:editId="6B65F30F">
                <wp:simplePos x="0" y="0"/>
                <wp:positionH relativeFrom="column">
                  <wp:posOffset>685165</wp:posOffset>
                </wp:positionH>
                <wp:positionV relativeFrom="paragraph">
                  <wp:posOffset>5897033</wp:posOffset>
                </wp:positionV>
                <wp:extent cx="4910666" cy="2963333"/>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4910666" cy="2963333"/>
                        </a:xfrm>
                        <a:prstGeom prst="rect">
                          <a:avLst/>
                        </a:prstGeom>
                        <a:solidFill>
                          <a:schemeClr val="lt1"/>
                        </a:solidFill>
                        <a:ln w="6350">
                          <a:noFill/>
                        </a:ln>
                      </wps:spPr>
                      <wps:txbx>
                        <w:txbxContent>
                          <w:p w14:paraId="3F4CD191" w14:textId="77777777" w:rsidR="00843743" w:rsidRDefault="00843743" w:rsidP="00DE29AF">
                            <w:pPr>
                              <w:ind w:left="0"/>
                              <w:jc w:val="left"/>
                              <w:rPr>
                                <w:color w:val="385B88"/>
                                <w:sz w:val="44"/>
                              </w:rPr>
                            </w:pPr>
                            <w:r w:rsidRPr="00432B4A">
                              <w:rPr>
                                <w:color w:val="385B88"/>
                                <w:sz w:val="44"/>
                              </w:rPr>
                              <w:t xml:space="preserve">Tool for Reducing Uncertainties in evidence generation for Specialised Treatments for Rare Diseases. </w:t>
                            </w:r>
                          </w:p>
                          <w:p w14:paraId="0C4C8396" w14:textId="76874AC8" w:rsidR="00843743" w:rsidRPr="00432B4A" w:rsidRDefault="00843743" w:rsidP="00DE29AF">
                            <w:pPr>
                              <w:ind w:left="0"/>
                              <w:jc w:val="left"/>
                              <w:rPr>
                                <w:b/>
                                <w:sz w:val="44"/>
                              </w:rPr>
                            </w:pPr>
                            <w:r w:rsidRPr="00432B4A">
                              <w:rPr>
                                <w:b/>
                                <w:color w:val="385B88"/>
                                <w:sz w:val="28"/>
                                <w:szCs w:val="28"/>
                              </w:rPr>
                              <w:t>TRUST4RD</w:t>
                            </w:r>
                          </w:p>
                          <w:p w14:paraId="130E0108" w14:textId="08416D6C" w:rsidR="00843743" w:rsidRPr="00432B4A" w:rsidRDefault="0052515C" w:rsidP="00DE29AF">
                            <w:pPr>
                              <w:ind w:left="0"/>
                              <w:jc w:val="left"/>
                              <w:rPr>
                                <w:color w:val="5ABEC1"/>
                                <w:sz w:val="28"/>
                              </w:rPr>
                            </w:pPr>
                            <w:r>
                              <w:rPr>
                                <w:color w:val="5ABEC1"/>
                                <w:sz w:val="28"/>
                              </w:rPr>
                              <w:t>March</w:t>
                            </w:r>
                            <w:r w:rsidR="00843743" w:rsidRPr="00432B4A">
                              <w:rPr>
                                <w:color w:val="5ABEC1"/>
                                <w:sz w:val="28"/>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6C295" id="_x0000_t202" coordsize="21600,21600" o:spt="202" path="m,l,21600r21600,l21600,xe">
                <v:stroke joinstyle="miter"/>
                <v:path gradientshapeok="t" o:connecttype="rect"/>
              </v:shapetype>
              <v:shape id="Text Box 1" o:spid="_x0000_s1026" type="#_x0000_t202" style="position:absolute;margin-left:53.95pt;margin-top:464.35pt;width:386.65pt;height:23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" fillcolor="white [3201]" stroked="f" strokeweight=".5pt">
                <v:textbox>
                  <w:txbxContent>
                    <w:p w14:paraId="3F4CD191" w14:textId="77777777" w:rsidR="00843743" w:rsidRDefault="00843743" w:rsidP="00DE29AF">
                      <w:pPr>
                        <w:ind w:left="0"/>
                        <w:jc w:val="left"/>
                        <w:rPr>
                          <w:color w:val="385B88"/>
                          <w:sz w:val="44"/>
                        </w:rPr>
                      </w:pPr>
                      <w:r w:rsidRPr="00432B4A">
                        <w:rPr>
                          <w:color w:val="385B88"/>
                          <w:sz w:val="44"/>
                        </w:rPr>
                        <w:t xml:space="preserve">Tool for Reducing Uncertainties in evidence generation for Specialised Treatments for Rare Diseases. </w:t>
                      </w:r>
                    </w:p>
                    <w:p w14:paraId="0C4C8396" w14:textId="76874AC8" w:rsidR="00843743" w:rsidRPr="00432B4A" w:rsidRDefault="00843743" w:rsidP="00DE29AF">
                      <w:pPr>
                        <w:ind w:left="0"/>
                        <w:jc w:val="left"/>
                        <w:rPr>
                          <w:b/>
                          <w:sz w:val="44"/>
                        </w:rPr>
                      </w:pPr>
                      <w:r w:rsidRPr="00432B4A">
                        <w:rPr>
                          <w:b/>
                          <w:color w:val="385B88"/>
                          <w:sz w:val="28"/>
                          <w:szCs w:val="28"/>
                        </w:rPr>
                        <w:t>TRUST4RD</w:t>
                      </w:r>
                    </w:p>
                    <w:p w14:paraId="130E0108" w14:textId="08416D6C" w:rsidR="00843743" w:rsidRPr="00432B4A" w:rsidRDefault="0052515C" w:rsidP="00DE29AF">
                      <w:pPr>
                        <w:ind w:left="0"/>
                        <w:jc w:val="left"/>
                        <w:rPr>
                          <w:color w:val="5ABEC1"/>
                          <w:sz w:val="28"/>
                        </w:rPr>
                      </w:pPr>
                      <w:r>
                        <w:rPr>
                          <w:color w:val="5ABEC1"/>
                          <w:sz w:val="28"/>
                        </w:rPr>
                        <w:t>March</w:t>
                      </w:r>
                      <w:r w:rsidR="00843743" w:rsidRPr="00432B4A">
                        <w:rPr>
                          <w:color w:val="5ABEC1"/>
                          <w:sz w:val="28"/>
                        </w:rPr>
                        <w:t xml:space="preserve"> 2019</w:t>
                      </w:r>
                    </w:p>
                  </w:txbxContent>
                </v:textbox>
              </v:shape>
            </w:pict>
          </mc:Fallback>
        </mc:AlternateContent>
      </w:r>
      <w:r w:rsidR="0005461C">
        <w:rPr>
          <w:color w:val="2683C6" w:themeColor="accent2"/>
          <w:sz w:val="32"/>
        </w:rPr>
        <w:br w:type="page"/>
      </w:r>
    </w:p>
    <w:p w14:paraId="2CE05444" w14:textId="33F2972E" w:rsidR="00717FDA" w:rsidRPr="00717FDA" w:rsidRDefault="00717FDA" w:rsidP="00717FDA">
      <w:pPr>
        <w:pStyle w:val="Heading1"/>
        <w:numPr>
          <w:ilvl w:val="0"/>
          <w:numId w:val="0"/>
        </w:numPr>
        <w:rPr>
          <w:color w:val="385B88"/>
          <w:sz w:val="32"/>
        </w:rPr>
      </w:pPr>
      <w:r>
        <w:rPr>
          <w:color w:val="385B88"/>
          <w:sz w:val="32"/>
        </w:rPr>
        <w:lastRenderedPageBreak/>
        <w:t>Acknowledgements</w:t>
      </w:r>
    </w:p>
    <w:p w14:paraId="2F94DA53" w14:textId="0FF46C4B" w:rsidR="00B728F7" w:rsidRPr="00717FDA" w:rsidRDefault="00B728F7" w:rsidP="00604FB7">
      <w:pPr>
        <w:spacing w:after="600"/>
        <w:ind w:left="0"/>
        <w:rPr>
          <w:rFonts w:asciiTheme="minorHAnsi" w:hAnsiTheme="minorHAnsi" w:cstheme="minorHAnsi"/>
          <w:color w:val="000000"/>
        </w:rPr>
      </w:pPr>
      <w:r w:rsidRPr="00717FDA">
        <w:rPr>
          <w:rFonts w:asciiTheme="minorHAnsi" w:hAnsiTheme="minorHAnsi" w:cstheme="minorHAnsi"/>
          <w:iCs/>
          <w:color w:val="000000"/>
        </w:rPr>
        <w:t xml:space="preserve">This paper has been commissioned by </w:t>
      </w:r>
      <w:r w:rsidR="00BC4882">
        <w:t>RIZIV-</w:t>
      </w:r>
      <w:r w:rsidR="00BC4882" w:rsidRPr="00717FDA">
        <w:t>INAMI</w:t>
      </w:r>
      <w:r w:rsidR="00BC4882" w:rsidRPr="00717FDA">
        <w:rPr>
          <w:rFonts w:asciiTheme="minorHAnsi" w:hAnsiTheme="minorHAnsi" w:cstheme="minorHAnsi"/>
          <w:iCs/>
          <w:color w:val="000000"/>
        </w:rPr>
        <w:t xml:space="preserve"> </w:t>
      </w:r>
      <w:r w:rsidRPr="00717FDA">
        <w:rPr>
          <w:rFonts w:asciiTheme="minorHAnsi" w:hAnsiTheme="minorHAnsi" w:cstheme="minorHAnsi"/>
          <w:iCs/>
          <w:color w:val="000000"/>
        </w:rPr>
        <w:t>and</w:t>
      </w:r>
      <w:r w:rsidR="00F903DB" w:rsidRPr="00717FDA">
        <w:rPr>
          <w:rFonts w:asciiTheme="minorHAnsi" w:hAnsiTheme="minorHAnsi" w:cstheme="minorHAnsi"/>
          <w:iCs/>
          <w:color w:val="000000"/>
        </w:rPr>
        <w:t xml:space="preserve"> </w:t>
      </w:r>
      <w:r w:rsidRPr="00717FDA">
        <w:rPr>
          <w:rFonts w:asciiTheme="minorHAnsi" w:hAnsiTheme="minorHAnsi" w:cstheme="minorHAnsi"/>
          <w:iCs/>
          <w:color w:val="000000"/>
        </w:rPr>
        <w:t>authored by Professor Lieven Annemans (</w:t>
      </w:r>
      <w:r w:rsidR="00D92286" w:rsidRPr="00717FDA">
        <w:rPr>
          <w:rFonts w:asciiTheme="minorHAnsi" w:hAnsiTheme="minorHAnsi" w:cstheme="minorHAnsi"/>
          <w:iCs/>
          <w:color w:val="000000"/>
        </w:rPr>
        <w:t xml:space="preserve">Ghent </w:t>
      </w:r>
      <w:r w:rsidRPr="00717FDA">
        <w:rPr>
          <w:rFonts w:asciiTheme="minorHAnsi" w:hAnsiTheme="minorHAnsi" w:cstheme="minorHAnsi"/>
          <w:iCs/>
          <w:color w:val="000000"/>
        </w:rPr>
        <w:t>University),</w:t>
      </w:r>
      <w:r w:rsidR="005D2172" w:rsidRPr="00717FDA">
        <w:rPr>
          <w:rFonts w:asciiTheme="minorHAnsi" w:hAnsiTheme="minorHAnsi" w:cstheme="minorHAnsi"/>
          <w:iCs/>
          <w:color w:val="000000"/>
        </w:rPr>
        <w:t xml:space="preserve"> supported by</w:t>
      </w:r>
      <w:r w:rsidRPr="00717FDA">
        <w:rPr>
          <w:rFonts w:asciiTheme="minorHAnsi" w:hAnsiTheme="minorHAnsi" w:cstheme="minorHAnsi"/>
          <w:iCs/>
          <w:color w:val="000000"/>
        </w:rPr>
        <w:t xml:space="preserve"> co-author</w:t>
      </w:r>
      <w:r w:rsidR="005D2172" w:rsidRPr="00717FDA">
        <w:rPr>
          <w:rFonts w:asciiTheme="minorHAnsi" w:hAnsiTheme="minorHAnsi" w:cstheme="minorHAnsi"/>
          <w:iCs/>
          <w:color w:val="000000"/>
        </w:rPr>
        <w:t xml:space="preserve"> </w:t>
      </w:r>
      <w:r w:rsidRPr="00717FDA">
        <w:rPr>
          <w:rFonts w:asciiTheme="minorHAnsi" w:hAnsiTheme="minorHAnsi" w:cstheme="minorHAnsi"/>
          <w:iCs/>
          <w:color w:val="000000"/>
        </w:rPr>
        <w:t xml:space="preserve">Dr Amr Makady </w:t>
      </w:r>
      <w:r w:rsidR="005D2172" w:rsidRPr="00717FDA">
        <w:rPr>
          <w:rFonts w:asciiTheme="minorHAnsi" w:hAnsiTheme="minorHAnsi" w:cstheme="minorHAnsi"/>
          <w:iCs/>
          <w:color w:val="000000"/>
        </w:rPr>
        <w:t>(</w:t>
      </w:r>
      <w:r w:rsidRPr="00717FDA">
        <w:rPr>
          <w:rFonts w:asciiTheme="minorHAnsi" w:hAnsiTheme="minorHAnsi" w:cstheme="minorHAnsi"/>
          <w:iCs/>
          <w:color w:val="000000"/>
        </w:rPr>
        <w:t>University of Utrecht)</w:t>
      </w:r>
      <w:r w:rsidR="005D2172" w:rsidRPr="00717FDA">
        <w:rPr>
          <w:rFonts w:asciiTheme="minorHAnsi" w:hAnsiTheme="minorHAnsi" w:cstheme="minorHAnsi"/>
          <w:iCs/>
          <w:color w:val="000000"/>
        </w:rPr>
        <w:t xml:space="preserve">. </w:t>
      </w:r>
      <w:r w:rsidR="00F33ECA" w:rsidRPr="00717FDA">
        <w:rPr>
          <w:rFonts w:asciiTheme="minorHAnsi" w:hAnsiTheme="minorHAnsi" w:cstheme="minorHAnsi"/>
          <w:iCs/>
          <w:color w:val="000000"/>
        </w:rPr>
        <w:t xml:space="preserve">The following individuals and stakeholder representatives from patient groups, healthcare professional organisations, government bodies and industry have participated in a series of roundtable discussions, facilitated and chaired by FIPRA and supported by Efpia, Eucope, EuropaBio and Shire, Sanofi Genyzme, Celgene, BioMarin, Takeda and Actelion: </w:t>
      </w:r>
    </w:p>
    <w:p w14:paraId="4D153F0C" w14:textId="1B6F4360" w:rsidR="00604FB7" w:rsidRPr="00604FB7" w:rsidRDefault="00604FB7" w:rsidP="00604FB7">
      <w:pPr>
        <w:pStyle w:val="ListParagraph"/>
        <w:numPr>
          <w:ilvl w:val="0"/>
          <w:numId w:val="14"/>
        </w:numPr>
        <w:spacing w:after="0"/>
      </w:pPr>
      <w:r w:rsidRPr="00717FDA">
        <w:t xml:space="preserve">Simone Boselli, </w:t>
      </w:r>
      <w:r>
        <w:t xml:space="preserve">Public Affairs Director, </w:t>
      </w:r>
      <w:r w:rsidRPr="00717FDA">
        <w:t>EURORDIS</w:t>
      </w:r>
    </w:p>
    <w:p w14:paraId="7333F5B2" w14:textId="0CEF22C3" w:rsidR="005D2172" w:rsidRPr="00604FB7" w:rsidRDefault="005D2172" w:rsidP="00604FB7">
      <w:pPr>
        <w:pStyle w:val="ListParagraph"/>
        <w:numPr>
          <w:ilvl w:val="0"/>
          <w:numId w:val="14"/>
        </w:numPr>
        <w:spacing w:after="0"/>
        <w:jc w:val="left"/>
        <w:rPr>
          <w:rFonts w:cstheme="minorHAnsi"/>
          <w:iCs/>
          <w:color w:val="000000"/>
        </w:rPr>
      </w:pPr>
      <w:r w:rsidRPr="00604FB7">
        <w:rPr>
          <w:rFonts w:cstheme="minorHAnsi"/>
          <w:iCs/>
          <w:color w:val="000000"/>
        </w:rPr>
        <w:t>Karen Facey</w:t>
      </w:r>
      <w:r w:rsidR="00E81A73" w:rsidRPr="00604FB7">
        <w:rPr>
          <w:rFonts w:cstheme="minorHAnsi"/>
          <w:iCs/>
          <w:color w:val="000000"/>
        </w:rPr>
        <w:t xml:space="preserve">, </w:t>
      </w:r>
      <w:r w:rsidRPr="00604FB7">
        <w:rPr>
          <w:rFonts w:cstheme="minorHAnsi"/>
          <w:iCs/>
          <w:color w:val="000000"/>
        </w:rPr>
        <w:t>University of Edinburgh</w:t>
      </w:r>
    </w:p>
    <w:p w14:paraId="2A75FBFD" w14:textId="6399C9A2" w:rsidR="00604FB7" w:rsidRDefault="00604FB7" w:rsidP="00604FB7">
      <w:pPr>
        <w:pStyle w:val="ListParagraph"/>
        <w:numPr>
          <w:ilvl w:val="0"/>
          <w:numId w:val="14"/>
        </w:numPr>
        <w:spacing w:after="0"/>
      </w:pPr>
      <w:r w:rsidRPr="00604FB7">
        <w:t xml:space="preserve">Cédric Hermans, Head Haemostasis and Thrombosis Unit/Haemophilia Centre of the Saint-Luc University Hospital, Belgium </w:t>
      </w:r>
    </w:p>
    <w:p w14:paraId="1DD92B76" w14:textId="0EB6B511" w:rsidR="00063E75" w:rsidRDefault="00063E75" w:rsidP="00604FB7">
      <w:pPr>
        <w:pStyle w:val="ListParagraph"/>
        <w:numPr>
          <w:ilvl w:val="0"/>
          <w:numId w:val="14"/>
        </w:numPr>
        <w:spacing w:after="0"/>
      </w:pPr>
      <w:r>
        <w:t>Jane Moseley, Senior Scientific Officer, European Medicines Agency</w:t>
      </w:r>
      <w:r w:rsidR="00C13395">
        <w:t xml:space="preserve"> (EMA)</w:t>
      </w:r>
      <w:r w:rsidR="00C13395">
        <w:rPr>
          <w:rStyle w:val="FootnoteReference"/>
        </w:rPr>
        <w:footnoteReference w:id="1"/>
      </w:r>
    </w:p>
    <w:p w14:paraId="51DA09E6" w14:textId="2C2F5E60" w:rsidR="002651FB" w:rsidRPr="00717FDA" w:rsidRDefault="002651FB" w:rsidP="00604FB7">
      <w:pPr>
        <w:pStyle w:val="ListParagraph"/>
        <w:numPr>
          <w:ilvl w:val="0"/>
          <w:numId w:val="14"/>
        </w:numPr>
        <w:spacing w:after="0"/>
      </w:pPr>
      <w:r w:rsidRPr="00717FDA">
        <w:t xml:space="preserve">Luca Sangiorgi, </w:t>
      </w:r>
      <w:r w:rsidR="00E81A73" w:rsidRPr="00E81A73">
        <w:t>Head of Medical Genetics and Rare Orthopaedic Diseases, Rizzoli Orthopaedic Institute, Italy</w:t>
      </w:r>
    </w:p>
    <w:p w14:paraId="31802AD4" w14:textId="11D3C7DE" w:rsidR="002651FB" w:rsidRPr="00604FB7" w:rsidRDefault="002651FB" w:rsidP="00604FB7">
      <w:pPr>
        <w:pStyle w:val="ListParagraph"/>
        <w:numPr>
          <w:ilvl w:val="0"/>
          <w:numId w:val="14"/>
        </w:numPr>
        <w:spacing w:after="0"/>
        <w:jc w:val="left"/>
        <w:rPr>
          <w:rFonts w:cstheme="minorHAnsi"/>
          <w:iCs/>
          <w:color w:val="000000"/>
        </w:rPr>
      </w:pPr>
      <w:r w:rsidRPr="00717FDA">
        <w:t xml:space="preserve">Maurizio Scarpa, </w:t>
      </w:r>
      <w:r w:rsidR="00E81A73">
        <w:t>Regional Coordinating Centre for Rare Diseases, Udine University Hospital, Italy</w:t>
      </w:r>
    </w:p>
    <w:p w14:paraId="1E14E7D4" w14:textId="77777777" w:rsidR="00604FB7" w:rsidRPr="00717FDA" w:rsidRDefault="00604FB7" w:rsidP="00604FB7">
      <w:pPr>
        <w:pStyle w:val="ListParagraph"/>
        <w:numPr>
          <w:ilvl w:val="0"/>
          <w:numId w:val="14"/>
        </w:numPr>
        <w:spacing w:after="0"/>
      </w:pPr>
      <w:r w:rsidRPr="00717FDA">
        <w:t xml:space="preserve">Chris Sotirelis, </w:t>
      </w:r>
      <w:r>
        <w:t xml:space="preserve">Patient Advocate, </w:t>
      </w:r>
      <w:r w:rsidRPr="00717FDA">
        <w:t>EURORDIS</w:t>
      </w:r>
    </w:p>
    <w:p w14:paraId="7B3F3C9B" w14:textId="77777777" w:rsidR="00604FB7" w:rsidRPr="00717FDA" w:rsidRDefault="00604FB7" w:rsidP="00604FB7">
      <w:pPr>
        <w:pStyle w:val="ListParagraph"/>
        <w:numPr>
          <w:ilvl w:val="0"/>
          <w:numId w:val="14"/>
        </w:numPr>
        <w:spacing w:after="0"/>
      </w:pPr>
      <w:r w:rsidRPr="00717FDA">
        <w:t xml:space="preserve">Sheela Upadhyaya, </w:t>
      </w:r>
      <w:r w:rsidRPr="00604FB7">
        <w:t>Associate Director</w:t>
      </w:r>
      <w:r>
        <w:t>,</w:t>
      </w:r>
      <w:r w:rsidRPr="00604FB7">
        <w:t xml:space="preserve"> Highly Specialised Technologies</w:t>
      </w:r>
      <w:r>
        <w:t xml:space="preserve">, </w:t>
      </w:r>
      <w:r w:rsidRPr="00604FB7">
        <w:t>National Institute for Health and Care Excellence</w:t>
      </w:r>
      <w:r>
        <w:t xml:space="preserve"> (</w:t>
      </w:r>
      <w:r w:rsidRPr="00717FDA">
        <w:t>NICE</w:t>
      </w:r>
      <w:r>
        <w:t>)</w:t>
      </w:r>
    </w:p>
    <w:p w14:paraId="52B21CD7" w14:textId="4783D94B" w:rsidR="00604FB7" w:rsidRPr="00717FDA" w:rsidRDefault="00604FB7" w:rsidP="00604FB7">
      <w:pPr>
        <w:pStyle w:val="ListParagraph"/>
        <w:numPr>
          <w:ilvl w:val="0"/>
          <w:numId w:val="14"/>
        </w:numPr>
        <w:spacing w:after="0"/>
      </w:pPr>
      <w:r w:rsidRPr="00717FDA">
        <w:t xml:space="preserve">Marc Van </w:t>
      </w:r>
      <w:r>
        <w:t>d</w:t>
      </w:r>
      <w:r w:rsidRPr="00717FDA">
        <w:t xml:space="preserve">e Casteele, </w:t>
      </w:r>
      <w:r w:rsidRPr="00604FB7">
        <w:t xml:space="preserve">Pharmaceutical </w:t>
      </w:r>
      <w:r w:rsidR="00063E75">
        <w:t>A</w:t>
      </w:r>
      <w:r w:rsidR="00063E75" w:rsidRPr="00604FB7">
        <w:t>ssessments</w:t>
      </w:r>
      <w:r w:rsidRPr="00604FB7">
        <w:t xml:space="preserve"> Coordinator</w:t>
      </w:r>
      <w:r>
        <w:t>, RIZIV-</w:t>
      </w:r>
      <w:r w:rsidRPr="00717FDA">
        <w:t>INAMI</w:t>
      </w:r>
    </w:p>
    <w:p w14:paraId="336FF049" w14:textId="77777777" w:rsidR="00604FB7" w:rsidRDefault="00604FB7" w:rsidP="00604FB7">
      <w:pPr>
        <w:pStyle w:val="ListParagraph"/>
        <w:numPr>
          <w:ilvl w:val="0"/>
          <w:numId w:val="14"/>
        </w:numPr>
        <w:spacing w:after="0"/>
      </w:pPr>
      <w:r w:rsidRPr="00717FDA">
        <w:t xml:space="preserve">Inneke Van de Vijver, </w:t>
      </w:r>
      <w:r w:rsidRPr="00604FB7">
        <w:t>Managed Entry Agreements Taskforce</w:t>
      </w:r>
      <w:r>
        <w:t>, RIZIV-</w:t>
      </w:r>
      <w:r w:rsidRPr="00717FDA">
        <w:t>INAMI</w:t>
      </w:r>
      <w:r w:rsidRPr="00604FB7">
        <w:t xml:space="preserve"> </w:t>
      </w:r>
    </w:p>
    <w:p w14:paraId="1609340F" w14:textId="6E9D9AFF" w:rsidR="00604FB7" w:rsidRPr="00717FDA" w:rsidRDefault="00604FB7" w:rsidP="00604FB7">
      <w:pPr>
        <w:pStyle w:val="ListParagraph"/>
        <w:numPr>
          <w:ilvl w:val="0"/>
          <w:numId w:val="14"/>
        </w:numPr>
        <w:spacing w:after="0"/>
      </w:pPr>
      <w:r w:rsidRPr="00717FDA">
        <w:t xml:space="preserve">Martin </w:t>
      </w:r>
      <w:r>
        <w:t>v</w:t>
      </w:r>
      <w:r w:rsidRPr="00717FDA">
        <w:t xml:space="preserve">an der Graaff, </w:t>
      </w:r>
      <w:r w:rsidRPr="00604FB7">
        <w:t>Secretary, Scientific Advisory Board, Zorginstituut Nederland (ZIN)</w:t>
      </w:r>
    </w:p>
    <w:p w14:paraId="04A737D0" w14:textId="77777777" w:rsidR="00604FB7" w:rsidRPr="00604FB7" w:rsidRDefault="00604FB7" w:rsidP="00604FB7">
      <w:pPr>
        <w:pStyle w:val="ListParagraph"/>
        <w:spacing w:after="0"/>
        <w:ind w:left="360"/>
        <w:jc w:val="left"/>
        <w:rPr>
          <w:rFonts w:cstheme="minorHAnsi"/>
          <w:iCs/>
          <w:color w:val="000000"/>
        </w:rPr>
      </w:pPr>
    </w:p>
    <w:p w14:paraId="5015D28B" w14:textId="16BF43EF" w:rsidR="009D4F47" w:rsidRPr="00011630" w:rsidRDefault="009D4F47" w:rsidP="00E81A73">
      <w:pPr>
        <w:spacing w:before="240"/>
        <w:ind w:left="0"/>
      </w:pPr>
    </w:p>
    <w:p w14:paraId="220DC4A4" w14:textId="2600F1DF" w:rsidR="009D4F47" w:rsidRPr="00011630" w:rsidRDefault="002651FB" w:rsidP="00E81A73">
      <w:pPr>
        <w:spacing w:after="0" w:line="240" w:lineRule="auto"/>
        <w:ind w:left="0"/>
        <w:jc w:val="left"/>
      </w:pPr>
      <w:r>
        <w:br w:type="page"/>
      </w:r>
    </w:p>
    <w:p w14:paraId="053D7F8E" w14:textId="55F38F07" w:rsidR="00117746" w:rsidRPr="00DE29AF" w:rsidRDefault="00CD18D4" w:rsidP="002651FB">
      <w:pPr>
        <w:pStyle w:val="Heading1"/>
        <w:ind w:left="0" w:firstLine="0"/>
        <w:rPr>
          <w:color w:val="385B88"/>
          <w:sz w:val="32"/>
        </w:rPr>
      </w:pPr>
      <w:r w:rsidRPr="00DE29AF">
        <w:rPr>
          <w:color w:val="385B88"/>
          <w:sz w:val="32"/>
        </w:rPr>
        <w:lastRenderedPageBreak/>
        <w:t>Introduction</w:t>
      </w:r>
      <w:r w:rsidR="00D8333B" w:rsidRPr="00DE29AF">
        <w:rPr>
          <w:color w:val="385B88"/>
          <w:sz w:val="32"/>
        </w:rPr>
        <w:t xml:space="preserve"> and objectives</w:t>
      </w:r>
    </w:p>
    <w:p w14:paraId="7284485D" w14:textId="69A4F29E" w:rsidR="009E37AA" w:rsidRPr="00C065CD" w:rsidRDefault="006B527D" w:rsidP="002651FB">
      <w:pPr>
        <w:ind w:left="0"/>
      </w:pPr>
      <w:r w:rsidRPr="00011630">
        <w:t xml:space="preserve">Many of the treatments developed for </w:t>
      </w:r>
      <w:r w:rsidR="00047EEC" w:rsidRPr="00011630">
        <w:t>rare</w:t>
      </w:r>
      <w:r w:rsidRPr="00011630">
        <w:t xml:space="preserve"> diseases will have an Orphan Medicinal Product (OMP) designation</w:t>
      </w:r>
      <w:r w:rsidR="00844438" w:rsidRPr="00011630">
        <w:t xml:space="preserve"> indicating that they are likely to deliver benefit in an area of high unmet need</w:t>
      </w:r>
      <w:r w:rsidR="00D52EC2" w:rsidRPr="00011630">
        <w:t xml:space="preserve">. </w:t>
      </w:r>
      <w:r w:rsidR="00D52EC2" w:rsidRPr="00C065CD">
        <w:t xml:space="preserve">Their approval may be based on </w:t>
      </w:r>
      <w:r w:rsidR="0008781A" w:rsidRPr="00C065CD">
        <w:t xml:space="preserve">a </w:t>
      </w:r>
      <w:r w:rsidR="00D52EC2" w:rsidRPr="00C065CD">
        <w:t>small or uncontrolled trial</w:t>
      </w:r>
      <w:r w:rsidR="00825E34" w:rsidRPr="00C065CD">
        <w:t>,</w:t>
      </w:r>
      <w:r w:rsidR="00D52EC2" w:rsidRPr="00C065CD">
        <w:t xml:space="preserve"> as randomized controlled trials (RCTs) of sufficient size are often </w:t>
      </w:r>
      <w:r w:rsidR="00D13DCC" w:rsidRPr="00C065CD">
        <w:t xml:space="preserve">difficult </w:t>
      </w:r>
      <w:r w:rsidR="00D52EC2" w:rsidRPr="00C065CD">
        <w:t>to conduct</w:t>
      </w:r>
      <w:r w:rsidR="0008781A" w:rsidRPr="00C065CD">
        <w:t>,</w:t>
      </w:r>
      <w:r w:rsidR="00D52EC2" w:rsidRPr="00C065CD">
        <w:t xml:space="preserve"> or to repeat</w:t>
      </w:r>
      <w:r w:rsidR="0008781A" w:rsidRPr="00C065CD">
        <w:t>,</w:t>
      </w:r>
      <w:r w:rsidR="00825E34" w:rsidRPr="00C065CD">
        <w:t xml:space="preserve"> as a result </w:t>
      </w:r>
      <w:r w:rsidR="00D52EC2" w:rsidRPr="00C065CD">
        <w:t xml:space="preserve">of the rarity of the condition, </w:t>
      </w:r>
      <w:r w:rsidR="00980F49" w:rsidRPr="00C065CD">
        <w:t>sparsity</w:t>
      </w:r>
      <w:r w:rsidR="00825E34" w:rsidRPr="00C065CD">
        <w:t xml:space="preserve"> of patients</w:t>
      </w:r>
      <w:r w:rsidR="0008781A" w:rsidRPr="00C065CD">
        <w:t>,</w:t>
      </w:r>
      <w:r w:rsidR="00825E34" w:rsidRPr="00C065CD">
        <w:t xml:space="preserve"> </w:t>
      </w:r>
      <w:r w:rsidR="00D52EC2" w:rsidRPr="00C065CD">
        <w:t xml:space="preserve">or because of ethical reasons. Furthermore, </w:t>
      </w:r>
      <w:r w:rsidR="00844438" w:rsidRPr="00C065CD">
        <w:t xml:space="preserve">many </w:t>
      </w:r>
      <w:r w:rsidR="00D52EC2" w:rsidRPr="00C065CD">
        <w:t xml:space="preserve">products </w:t>
      </w:r>
      <w:r w:rsidR="00D92286" w:rsidRPr="00C065CD">
        <w:t>are</w:t>
      </w:r>
      <w:r w:rsidRPr="00C065CD">
        <w:t xml:space="preserve"> </w:t>
      </w:r>
      <w:r w:rsidR="00D52EC2" w:rsidRPr="00C065CD">
        <w:t>given a</w:t>
      </w:r>
      <w:r w:rsidRPr="00C065CD">
        <w:t xml:space="preserve"> conditional marketing authorisation</w:t>
      </w:r>
      <w:r w:rsidR="00844438" w:rsidRPr="00C065CD">
        <w:t xml:space="preserve">, </w:t>
      </w:r>
      <w:r w:rsidR="00D52EC2" w:rsidRPr="00C065CD">
        <w:t>requiring</w:t>
      </w:r>
      <w:r w:rsidR="00844438" w:rsidRPr="00C065CD">
        <w:t xml:space="preserve"> </w:t>
      </w:r>
      <w:r w:rsidR="009E37AA" w:rsidRPr="00C065CD">
        <w:t>additional</w:t>
      </w:r>
      <w:r w:rsidR="00844438" w:rsidRPr="00C065CD">
        <w:t xml:space="preserve"> </w:t>
      </w:r>
      <w:r w:rsidR="000E2C4B" w:rsidRPr="00C065CD">
        <w:t>evidence</w:t>
      </w:r>
      <w:r w:rsidR="00844438" w:rsidRPr="00C065CD">
        <w:t xml:space="preserve"> </w:t>
      </w:r>
      <w:r w:rsidR="00D52EC2" w:rsidRPr="00C065CD">
        <w:t xml:space="preserve">to be </w:t>
      </w:r>
      <w:r w:rsidR="00844438" w:rsidRPr="00C065CD">
        <w:t>collected after product launch</w:t>
      </w:r>
      <w:r w:rsidRPr="00C065CD">
        <w:t>.</w:t>
      </w:r>
      <w:r w:rsidR="000E2C4B" w:rsidRPr="00C065CD">
        <w:t xml:space="preserve"> </w:t>
      </w:r>
      <w:r w:rsidR="00E106E0" w:rsidRPr="00C065CD">
        <w:t xml:space="preserve">This situation has become </w:t>
      </w:r>
      <w:r w:rsidR="00110A0E" w:rsidRPr="00C065CD">
        <w:t xml:space="preserve">even </w:t>
      </w:r>
      <w:r w:rsidR="00E106E0" w:rsidRPr="00C065CD">
        <w:t>more challenging with the advent of advanced therapeutic medicinal products, which use novel scientific approaches</w:t>
      </w:r>
      <w:r w:rsidR="006066B8" w:rsidRPr="00C065CD">
        <w:t xml:space="preserve"> like gene </w:t>
      </w:r>
      <w:r w:rsidR="00980F49" w:rsidRPr="00C065CD">
        <w:t>therapy, somatic</w:t>
      </w:r>
      <w:r w:rsidR="006066B8" w:rsidRPr="00C065CD">
        <w:t xml:space="preserve"> cell therapy or tissue engineered products </w:t>
      </w:r>
      <w:r w:rsidR="00110A0E" w:rsidRPr="00C065CD">
        <w:t>a</w:t>
      </w:r>
      <w:r w:rsidR="006066B8" w:rsidRPr="00C065CD">
        <w:t>dministered to human beings with a view to regenerating,</w:t>
      </w:r>
      <w:r w:rsidR="002B2145" w:rsidRPr="00C065CD">
        <w:t xml:space="preserve"> </w:t>
      </w:r>
      <w:r w:rsidR="006066B8" w:rsidRPr="00C065CD">
        <w:t>repairing or replacing a human tissue</w:t>
      </w:r>
      <w:r w:rsidR="002B2145" w:rsidRPr="00C065CD">
        <w:t xml:space="preserve">. </w:t>
      </w:r>
      <w:r w:rsidR="002B2145" w:rsidRPr="00C065CD">
        <w:rPr>
          <w:rStyle w:val="FootnoteReference"/>
        </w:rPr>
        <w:footnoteReference w:id="2"/>
      </w:r>
    </w:p>
    <w:p w14:paraId="3A0CA159" w14:textId="15F13CB5" w:rsidR="00FA57F5" w:rsidRPr="00011630" w:rsidRDefault="009E37AA" w:rsidP="002651FB">
      <w:pPr>
        <w:ind w:left="0"/>
      </w:pPr>
      <w:r w:rsidRPr="00C065CD">
        <w:t xml:space="preserve">Given the high unmet need associated with these products, there is pressure for </w:t>
      </w:r>
      <w:r w:rsidR="00FA57F5" w:rsidRPr="00C065CD">
        <w:t>Health Technology Assessment (HTA)</w:t>
      </w:r>
      <w:r w:rsidRPr="00C065CD">
        <w:t xml:space="preserve">/reimbursement </w:t>
      </w:r>
      <w:r w:rsidR="00D13DCC" w:rsidRPr="00C065CD">
        <w:t xml:space="preserve">bodies </w:t>
      </w:r>
      <w:r w:rsidRPr="00C065CD">
        <w:t xml:space="preserve">to </w:t>
      </w:r>
      <w:r w:rsidR="00825E34" w:rsidRPr="00C065CD">
        <w:t>enable rapid access to effective treatments</w:t>
      </w:r>
      <w:r w:rsidRPr="00C065CD">
        <w:t xml:space="preserve">, </w:t>
      </w:r>
      <w:r w:rsidR="00D13DCC" w:rsidRPr="00C065CD">
        <w:t xml:space="preserve">which requires spending public money.  However, related </w:t>
      </w:r>
      <w:r w:rsidR="006B527D" w:rsidRPr="00C065CD">
        <w:t xml:space="preserve">to the rare and complex nature of the conditions they </w:t>
      </w:r>
      <w:r w:rsidRPr="00C065CD">
        <w:t>treat</w:t>
      </w:r>
      <w:r w:rsidR="00D13DCC" w:rsidRPr="00C065CD">
        <w:t>,</w:t>
      </w:r>
      <w:r w:rsidR="000D3F24" w:rsidRPr="00C065CD">
        <w:t xml:space="preserve"> </w:t>
      </w:r>
      <w:r w:rsidR="006B527D" w:rsidRPr="00C065CD">
        <w:t xml:space="preserve">there is often only limited evidence </w:t>
      </w:r>
      <w:r w:rsidR="00D13DCC" w:rsidRPr="00C065CD">
        <w:t xml:space="preserve">on these products </w:t>
      </w:r>
      <w:r w:rsidR="006B527D" w:rsidRPr="00C065CD">
        <w:t>available</w:t>
      </w:r>
      <w:r w:rsidR="0008781A" w:rsidRPr="00C065CD">
        <w:t xml:space="preserve"> for assessment</w:t>
      </w:r>
      <w:r w:rsidR="000D3F24" w:rsidRPr="00C065CD">
        <w:t xml:space="preserve">.  </w:t>
      </w:r>
      <w:r w:rsidR="00C55D11" w:rsidRPr="00C065CD">
        <w:t>Uncertainties may</w:t>
      </w:r>
      <w:r w:rsidR="0008781A" w:rsidRPr="00C065CD">
        <w:t xml:space="preserve"> </w:t>
      </w:r>
      <w:r w:rsidR="000D3F24" w:rsidRPr="00C065CD">
        <w:t xml:space="preserve">occur </w:t>
      </w:r>
      <w:r w:rsidR="0008781A" w:rsidRPr="00C065CD">
        <w:t xml:space="preserve">about </w:t>
      </w:r>
      <w:r w:rsidR="00E106E0" w:rsidRPr="00C065CD">
        <w:t>the care pathway, natural history,</w:t>
      </w:r>
      <w:r w:rsidR="002B2145" w:rsidRPr="00C065CD">
        <w:t xml:space="preserve"> </w:t>
      </w:r>
      <w:r w:rsidR="0008781A" w:rsidRPr="00C065CD">
        <w:t>treatments’</w:t>
      </w:r>
      <w:r w:rsidR="006B527D" w:rsidRPr="00C065CD">
        <w:t xml:space="preserve"> </w:t>
      </w:r>
      <w:r w:rsidRPr="00C065CD">
        <w:t>clinical outcomes in the longer term</w:t>
      </w:r>
      <w:r w:rsidR="006B527D" w:rsidRPr="00C065CD">
        <w:t>, added value</w:t>
      </w:r>
      <w:r w:rsidR="006B527D" w:rsidRPr="00011630">
        <w:t xml:space="preserve"> to patients and value for money to society</w:t>
      </w:r>
      <w:r w:rsidR="006B527D" w:rsidRPr="00011630">
        <w:rPr>
          <w:rStyle w:val="FootnoteReference"/>
        </w:rPr>
        <w:footnoteReference w:id="3"/>
      </w:r>
      <w:r w:rsidR="006B527D" w:rsidRPr="00011630">
        <w:t xml:space="preserve">. </w:t>
      </w:r>
    </w:p>
    <w:p w14:paraId="6247376B" w14:textId="1A489350" w:rsidR="000E2C4B" w:rsidRPr="00011630" w:rsidRDefault="004B1C04" w:rsidP="002651FB">
      <w:pPr>
        <w:ind w:left="0"/>
      </w:pPr>
      <w:r w:rsidRPr="00011630">
        <w:t xml:space="preserve">For industry </w:t>
      </w:r>
      <w:r w:rsidR="00980F49" w:rsidRPr="00011630">
        <w:t>the investment</w:t>
      </w:r>
      <w:r w:rsidR="004E4B8B" w:rsidRPr="00011630">
        <w:t xml:space="preserve"> to</w:t>
      </w:r>
      <w:r w:rsidR="00851EE9" w:rsidRPr="00011630">
        <w:t xml:space="preserve"> develop these </w:t>
      </w:r>
      <w:r w:rsidR="00FA57F5" w:rsidRPr="00011630">
        <w:t xml:space="preserve">specialized treatments </w:t>
      </w:r>
      <w:r w:rsidR="00851EE9" w:rsidRPr="00011630">
        <w:t xml:space="preserve">is </w:t>
      </w:r>
      <w:r w:rsidR="004E4B8B" w:rsidRPr="00011630">
        <w:t>important with limited possibilities for economies of scale</w:t>
      </w:r>
      <w:r w:rsidR="000D3F24" w:rsidRPr="00011630">
        <w:t>,</w:t>
      </w:r>
      <w:r w:rsidR="004E4B8B" w:rsidRPr="00011630">
        <w:t xml:space="preserve"> </w:t>
      </w:r>
      <w:r w:rsidRPr="00011630">
        <w:t xml:space="preserve">and for society there </w:t>
      </w:r>
      <w:r w:rsidR="00980F49" w:rsidRPr="00011630">
        <w:t>is a</w:t>
      </w:r>
      <w:r w:rsidR="00851EE9" w:rsidRPr="00011630">
        <w:t xml:space="preserve"> high treatment cost </w:t>
      </w:r>
      <w:r w:rsidR="00077F60" w:rsidRPr="00011630">
        <w:t>per</w:t>
      </w:r>
      <w:r w:rsidR="00851EE9" w:rsidRPr="00011630">
        <w:t xml:space="preserve"> patient</w:t>
      </w:r>
      <w:r w:rsidR="000D3F24" w:rsidRPr="00011630">
        <w:t xml:space="preserve"> albeit mostly </w:t>
      </w:r>
      <w:r w:rsidR="003C2A00" w:rsidRPr="00011630">
        <w:t>with a rather limited overall budget impact</w:t>
      </w:r>
      <w:r w:rsidR="000E2C4B" w:rsidRPr="00011630">
        <w:t>.</w:t>
      </w:r>
    </w:p>
    <w:p w14:paraId="099C14C2" w14:textId="7394356C" w:rsidR="00FA57F5" w:rsidRPr="00011630" w:rsidRDefault="00FA57F5" w:rsidP="002651FB">
      <w:pPr>
        <w:ind w:left="0"/>
      </w:pPr>
      <w:r w:rsidRPr="00011630">
        <w:t xml:space="preserve">As a result of the combination of high prices </w:t>
      </w:r>
      <w:r w:rsidR="00EE3F85">
        <w:t xml:space="preserve">(albeit for a relatively small number of patients) </w:t>
      </w:r>
      <w:r w:rsidRPr="00011630">
        <w:t>and uncertainty in evidence, decision makers in healthcare, particularly HTA agencies and healthcare payers find themselves forced to make decisions about reimbursement under difficult conditions.</w:t>
      </w:r>
    </w:p>
    <w:p w14:paraId="0A10E0E9" w14:textId="34F80181" w:rsidR="00FA57F5" w:rsidRPr="00011630" w:rsidRDefault="00C07CA9" w:rsidP="002651FB">
      <w:pPr>
        <w:ind w:left="0"/>
      </w:pPr>
      <w:r w:rsidRPr="00011630">
        <w:t>G</w:t>
      </w:r>
      <w:r w:rsidR="00FA57F5" w:rsidRPr="00011630">
        <w:t xml:space="preserve">uidance is </w:t>
      </w:r>
      <w:r w:rsidR="000D3F24" w:rsidRPr="00011630">
        <w:t xml:space="preserve">therefore </w:t>
      </w:r>
      <w:r w:rsidR="00FA57F5" w:rsidRPr="00011630">
        <w:t xml:space="preserve">needed </w:t>
      </w:r>
      <w:r w:rsidRPr="00011630">
        <w:t>that supports</w:t>
      </w:r>
      <w:r w:rsidR="00FA57F5" w:rsidRPr="00011630">
        <w:t xml:space="preserve"> discussion amongst all stakeholders</w:t>
      </w:r>
      <w:r w:rsidRPr="00011630">
        <w:t xml:space="preserve"> to develop an understanding of the potential evidence that could be generated </w:t>
      </w:r>
      <w:r w:rsidR="000D3F24" w:rsidRPr="00011630">
        <w:t>both pre</w:t>
      </w:r>
      <w:r w:rsidR="00843743">
        <w:t>-</w:t>
      </w:r>
      <w:r w:rsidR="000D3F24" w:rsidRPr="00011630">
        <w:t xml:space="preserve"> and post</w:t>
      </w:r>
      <w:r w:rsidR="00843743">
        <w:t>-</w:t>
      </w:r>
      <w:r w:rsidR="000D3F24" w:rsidRPr="00011630">
        <w:t xml:space="preserve">HTA submission and to allow </w:t>
      </w:r>
      <w:r w:rsidRPr="00011630">
        <w:t xml:space="preserve">trade-offs in different approaches to evidence generation vs the societal issues of access to </w:t>
      </w:r>
      <w:r w:rsidR="00D13DCC">
        <w:t xml:space="preserve">these </w:t>
      </w:r>
      <w:r w:rsidRPr="00011630">
        <w:t xml:space="preserve">medicines and </w:t>
      </w:r>
      <w:r w:rsidR="001E01BF" w:rsidRPr="00011630">
        <w:t>wise use of limited healthcare resources.</w:t>
      </w:r>
      <w:r w:rsidRPr="00011630">
        <w:t xml:space="preserve"> </w:t>
      </w:r>
    </w:p>
    <w:p w14:paraId="3BC8A899" w14:textId="2564D5CC" w:rsidR="00FA57F5" w:rsidRPr="00011630" w:rsidRDefault="001E01BF" w:rsidP="002651FB">
      <w:pPr>
        <w:ind w:left="0"/>
      </w:pPr>
      <w:r w:rsidRPr="00011630">
        <w:t>This paper aims</w:t>
      </w:r>
      <w:r w:rsidR="00FA57F5" w:rsidRPr="00011630">
        <w:t xml:space="preserve"> to develop a technical but pragmatic </w:t>
      </w:r>
      <w:r w:rsidR="00CA2600" w:rsidRPr="00011630">
        <w:t xml:space="preserve">tool and </w:t>
      </w:r>
      <w:r w:rsidR="00FA57F5" w:rsidRPr="00011630">
        <w:t xml:space="preserve">methodology that allows </w:t>
      </w:r>
      <w:r w:rsidR="00D92286" w:rsidRPr="00011630">
        <w:t xml:space="preserve">the </w:t>
      </w:r>
      <w:r w:rsidR="00FA57F5" w:rsidRPr="00011630">
        <w:t>uncertainties in evidence</w:t>
      </w:r>
      <w:r w:rsidRPr="00011630">
        <w:t xml:space="preserve"> for a specialised treatment for a rare disease</w:t>
      </w:r>
      <w:r w:rsidR="00FA57F5" w:rsidRPr="00011630">
        <w:t xml:space="preserve"> to be made explicit, to be prioritized and to be addressed </w:t>
      </w:r>
      <w:r w:rsidRPr="00011630">
        <w:t xml:space="preserve">in an </w:t>
      </w:r>
      <w:r w:rsidR="00FA57F5" w:rsidRPr="00011630">
        <w:t>adequate</w:t>
      </w:r>
      <w:r w:rsidR="00D92286" w:rsidRPr="00011630">
        <w:t xml:space="preserve"> and timely w</w:t>
      </w:r>
      <w:r w:rsidRPr="00011630">
        <w:t>ay</w:t>
      </w:r>
      <w:r w:rsidR="00FA57F5" w:rsidRPr="00011630">
        <w:t xml:space="preserve">. Additionally, the paper </w:t>
      </w:r>
      <w:r w:rsidR="00FA57F5" w:rsidRPr="00011630">
        <w:lastRenderedPageBreak/>
        <w:t>provides guidance on the potential of real-world evidence (i.e. data collected outside the context of randomised c</w:t>
      </w:r>
      <w:r w:rsidR="00CA2600" w:rsidRPr="00011630">
        <w:t>ontrolled clinical trials; RWE)</w:t>
      </w:r>
      <w:r w:rsidR="00FA57F5" w:rsidRPr="00011630">
        <w:t xml:space="preserve"> to help address such uncertainties. </w:t>
      </w:r>
    </w:p>
    <w:p w14:paraId="00F96685" w14:textId="68B0AC90" w:rsidR="00D8333B" w:rsidRDefault="009028F1" w:rsidP="002651FB">
      <w:pPr>
        <w:ind w:left="0"/>
      </w:pPr>
      <w:r w:rsidRPr="00011630">
        <w:t xml:space="preserve">It builds </w:t>
      </w:r>
      <w:r w:rsidRPr="00011630">
        <w:rPr>
          <w:szCs w:val="22"/>
        </w:rPr>
        <w:t>on existing initiatives from the European Commission and the European Medicines Agency (EMA)</w:t>
      </w:r>
      <w:r w:rsidRPr="00011630">
        <w:rPr>
          <w:rStyle w:val="FootnoteReference"/>
          <w:szCs w:val="22"/>
        </w:rPr>
        <w:footnoteReference w:id="4"/>
      </w:r>
      <w:r w:rsidRPr="00011630">
        <w:rPr>
          <w:szCs w:val="22"/>
        </w:rPr>
        <w:t>, the Innovative Medicines Initiative (IMI)</w:t>
      </w:r>
      <w:r w:rsidRPr="00011630">
        <w:rPr>
          <w:rStyle w:val="FootnoteReference"/>
          <w:szCs w:val="22"/>
        </w:rPr>
        <w:t xml:space="preserve"> </w:t>
      </w:r>
      <w:r w:rsidRPr="00011630">
        <w:rPr>
          <w:rStyle w:val="FootnoteReference"/>
          <w:szCs w:val="22"/>
        </w:rPr>
        <w:footnoteReference w:id="5"/>
      </w:r>
      <w:r w:rsidRPr="00011630">
        <w:rPr>
          <w:szCs w:val="22"/>
        </w:rPr>
        <w:t>, E</w:t>
      </w:r>
      <w:r>
        <w:rPr>
          <w:szCs w:val="22"/>
        </w:rPr>
        <w:t>U</w:t>
      </w:r>
      <w:r w:rsidRPr="00011630">
        <w:rPr>
          <w:szCs w:val="22"/>
        </w:rPr>
        <w:t>netHTA, MoCA (Mechanism of Coordinated Access to OMPs)</w:t>
      </w:r>
      <w:r w:rsidRPr="00011630">
        <w:rPr>
          <w:rStyle w:val="FootnoteReference"/>
          <w:szCs w:val="22"/>
        </w:rPr>
        <w:footnoteReference w:id="6"/>
      </w:r>
      <w:r w:rsidRPr="00011630">
        <w:rPr>
          <w:szCs w:val="22"/>
        </w:rPr>
        <w:t>, ISPOR</w:t>
      </w:r>
      <w:r w:rsidRPr="00011630">
        <w:rPr>
          <w:rStyle w:val="FootnoteReference"/>
          <w:szCs w:val="22"/>
        </w:rPr>
        <w:footnoteReference w:id="7"/>
      </w:r>
      <w:r w:rsidRPr="00011630">
        <w:rPr>
          <w:szCs w:val="22"/>
        </w:rPr>
        <w:t>, ORPH-VAL</w:t>
      </w:r>
      <w:r w:rsidRPr="00011630">
        <w:rPr>
          <w:rStyle w:val="FootnoteReference"/>
          <w:szCs w:val="22"/>
        </w:rPr>
        <w:footnoteReference w:id="8"/>
      </w:r>
      <w:r w:rsidRPr="00011630">
        <w:rPr>
          <w:szCs w:val="22"/>
        </w:rPr>
        <w:t>, and in papers by Annemans and Pani</w:t>
      </w:r>
      <w:r w:rsidRPr="00011630">
        <w:rPr>
          <w:rStyle w:val="FootnoteReference"/>
          <w:szCs w:val="22"/>
        </w:rPr>
        <w:footnoteReference w:id="9"/>
      </w:r>
      <w:r w:rsidRPr="00011630">
        <w:rPr>
          <w:szCs w:val="22"/>
        </w:rPr>
        <w:t>, Hampson at al.</w:t>
      </w:r>
      <w:r w:rsidRPr="00011630">
        <w:rPr>
          <w:rStyle w:val="FootnoteReference"/>
          <w:szCs w:val="22"/>
        </w:rPr>
        <w:footnoteReference w:id="10"/>
      </w:r>
      <w:r w:rsidR="001E652D">
        <w:rPr>
          <w:szCs w:val="22"/>
        </w:rPr>
        <w:t xml:space="preserve">, </w:t>
      </w:r>
      <w:r w:rsidRPr="00C065CD">
        <w:rPr>
          <w:szCs w:val="22"/>
        </w:rPr>
        <w:t>Mitroiu et al.</w:t>
      </w:r>
      <w:r w:rsidRPr="00C065CD">
        <w:rPr>
          <w:rStyle w:val="FootnoteReference"/>
          <w:szCs w:val="22"/>
        </w:rPr>
        <w:footnoteReference w:id="11"/>
      </w:r>
      <w:r w:rsidR="00230600" w:rsidRPr="00C065CD">
        <w:rPr>
          <w:szCs w:val="22"/>
        </w:rPr>
        <w:t xml:space="preserve"> and the EMA post authorisation efficacy study guidance</w:t>
      </w:r>
      <w:r w:rsidR="00230600" w:rsidRPr="00C065CD">
        <w:rPr>
          <w:rStyle w:val="FootnoteReference"/>
          <w:szCs w:val="22"/>
        </w:rPr>
        <w:footnoteReference w:id="12"/>
      </w:r>
      <w:r w:rsidRPr="00C065CD">
        <w:rPr>
          <w:szCs w:val="22"/>
        </w:rPr>
        <w:t xml:space="preserve">. </w:t>
      </w:r>
      <w:r w:rsidR="005A2EC9" w:rsidRPr="00C065CD">
        <w:rPr>
          <w:szCs w:val="22"/>
        </w:rPr>
        <w:t xml:space="preserve">This paper aims </w:t>
      </w:r>
      <w:r w:rsidR="00CA2600" w:rsidRPr="00C065CD">
        <w:rPr>
          <w:szCs w:val="22"/>
        </w:rPr>
        <w:t>to</w:t>
      </w:r>
      <w:r w:rsidR="00DE2CA9" w:rsidRPr="00C065CD">
        <w:rPr>
          <w:szCs w:val="22"/>
        </w:rPr>
        <w:t xml:space="preserve"> translat</w:t>
      </w:r>
      <w:r w:rsidR="009C0395" w:rsidRPr="00C065CD">
        <w:rPr>
          <w:szCs w:val="22"/>
        </w:rPr>
        <w:t>e</w:t>
      </w:r>
      <w:r w:rsidR="00DE2CA9" w:rsidRPr="00C065CD">
        <w:rPr>
          <w:szCs w:val="22"/>
        </w:rPr>
        <w:t xml:space="preserve"> </w:t>
      </w:r>
      <w:r w:rsidR="00CA2600" w:rsidRPr="00C065CD">
        <w:rPr>
          <w:szCs w:val="22"/>
        </w:rPr>
        <w:t xml:space="preserve">the </w:t>
      </w:r>
      <w:r w:rsidR="00DE2CA9" w:rsidRPr="00C065CD">
        <w:rPr>
          <w:szCs w:val="22"/>
        </w:rPr>
        <w:t xml:space="preserve">findings and recommendations from these initiatives into a pragmatic </w:t>
      </w:r>
      <w:r w:rsidR="00A54DC0" w:rsidRPr="00C065CD">
        <w:rPr>
          <w:szCs w:val="22"/>
        </w:rPr>
        <w:t xml:space="preserve">and realistic </w:t>
      </w:r>
      <w:r w:rsidR="00DE2CA9" w:rsidRPr="00C065CD">
        <w:rPr>
          <w:szCs w:val="22"/>
        </w:rPr>
        <w:t xml:space="preserve">methodology. </w:t>
      </w:r>
      <w:r w:rsidR="005A2EC9" w:rsidRPr="00C065CD">
        <w:t>The proposed tool will provide guidance to inform multi-stakeholder discussions and reimbursement</w:t>
      </w:r>
      <w:r w:rsidR="005A2EC9" w:rsidRPr="00011630">
        <w:t xml:space="preserve"> decision making </w:t>
      </w:r>
      <w:r w:rsidR="00980F49" w:rsidRPr="00011630">
        <w:t>about specialized</w:t>
      </w:r>
      <w:r w:rsidR="005A2EC9" w:rsidRPr="00011630">
        <w:t xml:space="preserve"> treatments for rare diseases.</w:t>
      </w:r>
      <w:r w:rsidR="003B3B86">
        <w:t xml:space="preserve"> It is </w:t>
      </w:r>
      <w:r w:rsidR="00FC26D1">
        <w:t>aspirational but</w:t>
      </w:r>
      <w:r w:rsidR="003B3B86">
        <w:t xml:space="preserve"> builds on the emerging experience of the value of multi-stakeholder dialogues by proposing a structure that explicitly names and addresses uncertainties that are common in </w:t>
      </w:r>
      <w:r w:rsidR="00F33ECA">
        <w:t>specialised</w:t>
      </w:r>
      <w:r w:rsidR="003B3B86">
        <w:t xml:space="preserve"> treatments for rare diseases.</w:t>
      </w:r>
    </w:p>
    <w:p w14:paraId="6E28FDA6" w14:textId="17F52D97" w:rsidR="00DE29AF" w:rsidRPr="00011630" w:rsidRDefault="00DE29AF" w:rsidP="002651FB">
      <w:pPr>
        <w:ind w:left="0"/>
        <w:rPr>
          <w:szCs w:val="22"/>
        </w:rPr>
      </w:pPr>
    </w:p>
    <w:p w14:paraId="1366E247" w14:textId="528169A8" w:rsidR="00AF247E" w:rsidRPr="00DE29AF" w:rsidRDefault="00D8333B" w:rsidP="002651FB">
      <w:pPr>
        <w:pStyle w:val="Heading1"/>
        <w:ind w:left="0" w:firstLine="0"/>
        <w:rPr>
          <w:color w:val="385B88"/>
        </w:rPr>
      </w:pPr>
      <w:r w:rsidRPr="00DE29AF">
        <w:rPr>
          <w:color w:val="385B88"/>
          <w:sz w:val="32"/>
        </w:rPr>
        <w:t>Methods</w:t>
      </w:r>
    </w:p>
    <w:p w14:paraId="55DCA827" w14:textId="4A98E45A" w:rsidR="003E2D74" w:rsidRPr="00011630" w:rsidRDefault="003E2D74" w:rsidP="002651FB">
      <w:pPr>
        <w:ind w:left="0"/>
      </w:pPr>
      <w:r w:rsidRPr="00011630">
        <w:t xml:space="preserve">Commissioned by the Belgian Institut National d'Assurance Maladie-lnvalidité/ Rijksinstituut voor ziekte- en invaliditeitsverzekering (INAMI/RIZIV), </w:t>
      </w:r>
      <w:r w:rsidR="00D92286" w:rsidRPr="00011630">
        <w:t>the</w:t>
      </w:r>
      <w:r w:rsidRPr="00011630">
        <w:t xml:space="preserve"> paper was developed through </w:t>
      </w:r>
      <w:r w:rsidR="00980F49" w:rsidRPr="00011630">
        <w:t>multi-stakeholder</w:t>
      </w:r>
      <w:r w:rsidRPr="00011630">
        <w:t xml:space="preserve"> dialogue. Stakeholder representatives from patient groups, healthcare profess</w:t>
      </w:r>
      <w:r w:rsidR="00D57288" w:rsidRPr="00011630">
        <w:t xml:space="preserve">ional organisations, government </w:t>
      </w:r>
      <w:r w:rsidRPr="00011630">
        <w:t xml:space="preserve">bodies (including payers and HTA authorities) </w:t>
      </w:r>
      <w:r w:rsidR="00D57288" w:rsidRPr="00011630">
        <w:t xml:space="preserve">and the pharmaceutical industry </w:t>
      </w:r>
      <w:r w:rsidRPr="00011630">
        <w:t>participated in a s</w:t>
      </w:r>
      <w:r w:rsidR="00D57288" w:rsidRPr="00011630">
        <w:t xml:space="preserve">eries of </w:t>
      </w:r>
      <w:r w:rsidRPr="00011630">
        <w:t xml:space="preserve">roundtable discussions to contribute </w:t>
      </w:r>
      <w:r w:rsidRPr="00011630">
        <w:lastRenderedPageBreak/>
        <w:t xml:space="preserve">to the paper and a workshop to pilot </w:t>
      </w:r>
      <w:r w:rsidR="00CA2600" w:rsidRPr="00011630">
        <w:t>a</w:t>
      </w:r>
      <w:r w:rsidRPr="00011630">
        <w:t xml:space="preserve"> template </w:t>
      </w:r>
      <w:r w:rsidR="00CA2600" w:rsidRPr="00011630">
        <w:t>aimed at</w:t>
      </w:r>
      <w:r w:rsidRPr="00011630">
        <w:t xml:space="preserve"> support</w:t>
      </w:r>
      <w:r w:rsidR="00CA2600" w:rsidRPr="00011630">
        <w:t>ing</w:t>
      </w:r>
      <w:r w:rsidRPr="00011630">
        <w:t xml:space="preserve"> dialogue. In addition, a drafting committee comprised of a smaller group of similar stakeholder representatives also supported the writing of this paper. </w:t>
      </w:r>
    </w:p>
    <w:p w14:paraId="7F92BF2C" w14:textId="77777777" w:rsidR="003E2D74" w:rsidRPr="00011630" w:rsidRDefault="003E2D74" w:rsidP="002651FB">
      <w:pPr>
        <w:ind w:left="0"/>
        <w:rPr>
          <w:i/>
        </w:rPr>
      </w:pPr>
    </w:p>
    <w:p w14:paraId="1DC1824C" w14:textId="7BF916AC" w:rsidR="00A54DC0" w:rsidRPr="00DE29AF" w:rsidRDefault="00A54DC0" w:rsidP="002651FB">
      <w:pPr>
        <w:pStyle w:val="Heading1"/>
        <w:ind w:left="0" w:firstLine="0"/>
        <w:rPr>
          <w:color w:val="385B88"/>
          <w:sz w:val="32"/>
        </w:rPr>
      </w:pPr>
      <w:r w:rsidRPr="00DE29AF">
        <w:rPr>
          <w:color w:val="385B88"/>
          <w:sz w:val="32"/>
        </w:rPr>
        <w:t xml:space="preserve">Explaining the </w:t>
      </w:r>
      <w:r w:rsidR="00CA2600" w:rsidRPr="00DE29AF">
        <w:rPr>
          <w:color w:val="385B88"/>
          <w:sz w:val="32"/>
        </w:rPr>
        <w:t>tool</w:t>
      </w:r>
    </w:p>
    <w:p w14:paraId="4881484C" w14:textId="1CB4F819" w:rsidR="00870180" w:rsidRDefault="00D8333B" w:rsidP="002651FB">
      <w:pPr>
        <w:ind w:left="0"/>
      </w:pPr>
      <w:r w:rsidRPr="00011630">
        <w:t xml:space="preserve">As stated in the introduction, uncertainties </w:t>
      </w:r>
      <w:r w:rsidR="005A2EC9" w:rsidRPr="00011630">
        <w:t>exist</w:t>
      </w:r>
      <w:r w:rsidR="00A42DFA" w:rsidRPr="00011630">
        <w:t xml:space="preserve"> </w:t>
      </w:r>
      <w:r w:rsidRPr="00011630">
        <w:t xml:space="preserve">in the evidence </w:t>
      </w:r>
      <w:r w:rsidR="005A2EC9" w:rsidRPr="00011630">
        <w:t xml:space="preserve">base submitted to </w:t>
      </w:r>
      <w:r w:rsidR="00980F49" w:rsidRPr="00011630">
        <w:t>HTA for specialised</w:t>
      </w:r>
      <w:r w:rsidR="005A2EC9" w:rsidRPr="00011630">
        <w:t xml:space="preserve"> </w:t>
      </w:r>
      <w:r w:rsidR="00851EE9" w:rsidRPr="00011630">
        <w:t>treatment</w:t>
      </w:r>
      <w:r w:rsidR="00433B50" w:rsidRPr="00011630">
        <w:t>s</w:t>
      </w:r>
      <w:r w:rsidR="000279A3" w:rsidRPr="00011630">
        <w:t xml:space="preserve"> for a </w:t>
      </w:r>
      <w:r w:rsidR="0090294F" w:rsidRPr="00011630">
        <w:t>rare disease</w:t>
      </w:r>
      <w:r w:rsidRPr="00011630">
        <w:t xml:space="preserve">. </w:t>
      </w:r>
      <w:r w:rsidR="0090294F" w:rsidRPr="00011630">
        <w:t xml:space="preserve">Uncertainties will of course always exist and may also evolve over time. </w:t>
      </w:r>
      <w:r w:rsidR="00077F60" w:rsidRPr="00011630">
        <w:t xml:space="preserve">Typically, some uncertainties may be unavoidable at an early stage but may be addressed later on. </w:t>
      </w:r>
      <w:r w:rsidR="00980F49" w:rsidRPr="00011630">
        <w:t>This</w:t>
      </w:r>
      <w:r w:rsidR="00433B50" w:rsidRPr="00011630">
        <w:t xml:space="preserve"> paper proposes an </w:t>
      </w:r>
      <w:r w:rsidR="00A42DFA" w:rsidRPr="00011630">
        <w:t xml:space="preserve">approach </w:t>
      </w:r>
      <w:r w:rsidR="005A2EC9" w:rsidRPr="00011630">
        <w:t>to</w:t>
      </w:r>
      <w:r w:rsidR="007F342F" w:rsidRPr="00011630">
        <w:t xml:space="preserve"> identify the </w:t>
      </w:r>
      <w:r w:rsidR="00267BDF" w:rsidRPr="00011630">
        <w:t xml:space="preserve">uncertainties </w:t>
      </w:r>
      <w:r w:rsidR="004C517F">
        <w:t xml:space="preserve">that are of most concern for </w:t>
      </w:r>
      <w:r w:rsidR="007F342F" w:rsidRPr="00011630">
        <w:t>decision makers</w:t>
      </w:r>
      <w:r w:rsidR="004C517F">
        <w:t>.</w:t>
      </w:r>
      <w:r w:rsidR="003B3B86">
        <w:t xml:space="preserve"> </w:t>
      </w:r>
      <w:r w:rsidR="004C517F">
        <w:t xml:space="preserve">It sets out </w:t>
      </w:r>
      <w:r w:rsidR="007F342F" w:rsidRPr="00011630">
        <w:t xml:space="preserve">a way </w:t>
      </w:r>
      <w:r w:rsidR="00980F49" w:rsidRPr="00011630">
        <w:t>to reduce</w:t>
      </w:r>
      <w:r w:rsidR="007F342F" w:rsidRPr="00011630">
        <w:t xml:space="preserve"> </w:t>
      </w:r>
      <w:r w:rsidR="005A2EC9" w:rsidRPr="00011630">
        <w:t xml:space="preserve">these uncertainties </w:t>
      </w:r>
      <w:r w:rsidR="00433B50" w:rsidRPr="00011630">
        <w:t>that centres on deve</w:t>
      </w:r>
      <w:r w:rsidR="005A2EC9" w:rsidRPr="00011630">
        <w:t>lop</w:t>
      </w:r>
      <w:r w:rsidR="00433B50" w:rsidRPr="00011630">
        <w:t>ing</w:t>
      </w:r>
      <w:r w:rsidR="005A2EC9" w:rsidRPr="00011630">
        <w:t xml:space="preserve"> </w:t>
      </w:r>
      <w:r w:rsidR="00A42DFA" w:rsidRPr="00011630">
        <w:t xml:space="preserve">an </w:t>
      </w:r>
      <w:r w:rsidR="00CA2600" w:rsidRPr="00011630">
        <w:t xml:space="preserve">iterative and </w:t>
      </w:r>
      <w:r w:rsidR="00A42DFA" w:rsidRPr="00011630">
        <w:t>informed dialogue</w:t>
      </w:r>
      <w:r w:rsidR="00433B50" w:rsidRPr="00011630">
        <w:t xml:space="preserve"> amongst stakeholders so that potential approaches to resolve them can be discussed</w:t>
      </w:r>
      <w:r w:rsidR="00C63BD7" w:rsidRPr="00011630">
        <w:t xml:space="preserve">. As evidence is generated, the uncertainties are </w:t>
      </w:r>
      <w:r w:rsidR="00980F49" w:rsidRPr="00011630">
        <w:t>reviewed</w:t>
      </w:r>
      <w:r w:rsidR="00DA62C2">
        <w:t xml:space="preserve"> </w:t>
      </w:r>
      <w:r w:rsidR="004C517F">
        <w:t>and prioritised</w:t>
      </w:r>
      <w:r w:rsidR="004C517F" w:rsidRPr="00011630">
        <w:t xml:space="preserve">, </w:t>
      </w:r>
      <w:r w:rsidR="004C517F">
        <w:t>so that</w:t>
      </w:r>
      <w:r w:rsidR="004C517F" w:rsidRPr="00011630">
        <w:t xml:space="preserve"> </w:t>
      </w:r>
      <w:r w:rsidR="00C63BD7" w:rsidRPr="00011630">
        <w:t>evidence generation plans can be revised or clarified.</w:t>
      </w:r>
      <w:r w:rsidR="003D3B74" w:rsidRPr="00011630">
        <w:t xml:space="preserve"> </w:t>
      </w:r>
      <w:r w:rsidR="00980F49" w:rsidRPr="00011630">
        <w:t xml:space="preserve">The aim is to develop </w:t>
      </w:r>
      <w:r w:rsidR="004C517F">
        <w:t xml:space="preserve">– both pre- and post HTA submission – better </w:t>
      </w:r>
      <w:r w:rsidR="00980F49" w:rsidRPr="00011630">
        <w:t xml:space="preserve">understanding of evidence requirements vs evidence generation trade-offs as an evidence base grows and the potential value of a product becomes clearer.  </w:t>
      </w:r>
      <w:r w:rsidR="003E246B" w:rsidRPr="00011630">
        <w:t>Like the advice given in current regulatory and HTA settings (Scientific Advice, Early Dialogues etc), this advice would not be binding on any party.</w:t>
      </w:r>
    </w:p>
    <w:p w14:paraId="0198A2E5" w14:textId="755597BC" w:rsidR="00870180" w:rsidRPr="00011630" w:rsidRDefault="00A42DFA" w:rsidP="002651FB">
      <w:pPr>
        <w:ind w:left="0"/>
      </w:pPr>
      <w:r w:rsidRPr="00011630">
        <w:t xml:space="preserve">The method </w:t>
      </w:r>
      <w:r w:rsidR="00505D20" w:rsidRPr="00011630">
        <w:t xml:space="preserve">consists of </w:t>
      </w:r>
      <w:r w:rsidR="0090294F" w:rsidRPr="00011630">
        <w:t>3</w:t>
      </w:r>
      <w:r w:rsidR="00C805EA" w:rsidRPr="00011630">
        <w:t xml:space="preserve"> building blocks – evidence gaps; data sources and design; and iterative dialogue – </w:t>
      </w:r>
      <w:r w:rsidR="003A6ACA" w:rsidRPr="00011630">
        <w:t xml:space="preserve">that </w:t>
      </w:r>
      <w:r w:rsidR="00C805EA" w:rsidRPr="00011630">
        <w:t xml:space="preserve">all </w:t>
      </w:r>
      <w:r w:rsidR="003A6ACA" w:rsidRPr="00011630">
        <w:t xml:space="preserve">evolve over time, </w:t>
      </w:r>
      <w:r w:rsidR="00505D20" w:rsidRPr="00011630">
        <w:t xml:space="preserve">as shown in Figure 1. </w:t>
      </w:r>
      <w:r w:rsidR="004C517F">
        <w:t xml:space="preserve">The figure also emphasizes the </w:t>
      </w:r>
      <w:r w:rsidR="00FC26D1">
        <w:t>distinction</w:t>
      </w:r>
      <w:r w:rsidR="004C517F">
        <w:t xml:space="preserve"> between the situation pre- and post HTA, which will be clarified </w:t>
      </w:r>
      <w:r w:rsidR="00FC26D1">
        <w:t>further on</w:t>
      </w:r>
      <w:r w:rsidR="004C517F">
        <w:t xml:space="preserve"> in the text. </w:t>
      </w:r>
    </w:p>
    <w:p w14:paraId="655B148C" w14:textId="77777777" w:rsidR="00874265" w:rsidRDefault="00874265" w:rsidP="002651FB">
      <w:pPr>
        <w:ind w:left="0"/>
        <w:rPr>
          <w:b/>
          <w:sz w:val="22"/>
        </w:rPr>
      </w:pPr>
    </w:p>
    <w:p w14:paraId="3B193239" w14:textId="77777777" w:rsidR="00874265" w:rsidRDefault="00874265" w:rsidP="002651FB">
      <w:pPr>
        <w:ind w:left="0"/>
        <w:rPr>
          <w:b/>
          <w:sz w:val="22"/>
        </w:rPr>
      </w:pPr>
    </w:p>
    <w:p w14:paraId="6F1ACF63" w14:textId="77777777" w:rsidR="00874265" w:rsidRDefault="00874265" w:rsidP="002651FB">
      <w:pPr>
        <w:ind w:left="0"/>
        <w:rPr>
          <w:b/>
          <w:sz w:val="22"/>
        </w:rPr>
      </w:pPr>
    </w:p>
    <w:p w14:paraId="0E57C26C" w14:textId="77777777" w:rsidR="00874265" w:rsidRDefault="00874265" w:rsidP="002651FB">
      <w:pPr>
        <w:ind w:left="0"/>
        <w:rPr>
          <w:b/>
          <w:sz w:val="22"/>
        </w:rPr>
      </w:pPr>
    </w:p>
    <w:p w14:paraId="0AA6B488" w14:textId="77777777" w:rsidR="00874265" w:rsidRDefault="00874265" w:rsidP="002651FB">
      <w:pPr>
        <w:ind w:left="0"/>
        <w:rPr>
          <w:b/>
          <w:sz w:val="22"/>
        </w:rPr>
      </w:pPr>
    </w:p>
    <w:p w14:paraId="1CBE3315" w14:textId="77777777" w:rsidR="00874265" w:rsidRDefault="00874265" w:rsidP="002651FB">
      <w:pPr>
        <w:ind w:left="0"/>
        <w:rPr>
          <w:b/>
          <w:sz w:val="22"/>
        </w:rPr>
      </w:pPr>
    </w:p>
    <w:p w14:paraId="58A04875" w14:textId="77777777" w:rsidR="00874265" w:rsidRDefault="00874265" w:rsidP="002651FB">
      <w:pPr>
        <w:ind w:left="0"/>
        <w:rPr>
          <w:b/>
          <w:sz w:val="22"/>
        </w:rPr>
      </w:pPr>
    </w:p>
    <w:p w14:paraId="1A5FA744" w14:textId="77777777" w:rsidR="00874265" w:rsidRDefault="00874265" w:rsidP="002651FB">
      <w:pPr>
        <w:ind w:left="0"/>
        <w:rPr>
          <w:b/>
          <w:sz w:val="22"/>
        </w:rPr>
      </w:pPr>
    </w:p>
    <w:p w14:paraId="449BE9A4" w14:textId="77777777" w:rsidR="00874265" w:rsidRDefault="00874265" w:rsidP="002651FB">
      <w:pPr>
        <w:ind w:left="0"/>
        <w:rPr>
          <w:b/>
          <w:sz w:val="22"/>
        </w:rPr>
      </w:pPr>
    </w:p>
    <w:p w14:paraId="01FA9E74" w14:textId="150E983A" w:rsidR="00A54DC0" w:rsidRPr="00874265" w:rsidRDefault="00505D20" w:rsidP="002651FB">
      <w:pPr>
        <w:ind w:left="0"/>
        <w:rPr>
          <w:b/>
          <w:sz w:val="22"/>
        </w:rPr>
      </w:pPr>
      <w:r w:rsidRPr="00011630">
        <w:rPr>
          <w:b/>
          <w:sz w:val="22"/>
        </w:rPr>
        <w:lastRenderedPageBreak/>
        <w:t xml:space="preserve">Figure 1: </w:t>
      </w:r>
      <w:r w:rsidR="003F5F4E" w:rsidRPr="00011630">
        <w:rPr>
          <w:b/>
          <w:sz w:val="22"/>
        </w:rPr>
        <w:t>TRUST-4RD building blocks</w:t>
      </w:r>
    </w:p>
    <w:p w14:paraId="6AC441ED" w14:textId="6BF2AF20" w:rsidR="00867583" w:rsidRDefault="00874265" w:rsidP="002651FB">
      <w:pPr>
        <w:ind w:left="0"/>
      </w:pPr>
      <w:r w:rsidRPr="00011630">
        <w:rPr>
          <w:noProof/>
        </w:rPr>
        <w:drawing>
          <wp:anchor distT="0" distB="0" distL="114300" distR="114300" simplePos="0" relativeHeight="251663360" behindDoc="0" locked="0" layoutInCell="1" allowOverlap="1" wp14:anchorId="2754DCFB" wp14:editId="67083D14">
            <wp:simplePos x="0" y="0"/>
            <wp:positionH relativeFrom="column">
              <wp:posOffset>41910</wp:posOffset>
            </wp:positionH>
            <wp:positionV relativeFrom="paragraph">
              <wp:posOffset>577426</wp:posOffset>
            </wp:positionV>
            <wp:extent cx="6036310" cy="347027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srcRect l="3608" t="15110" r="7673" b="7425"/>
                    <a:stretch/>
                  </pic:blipFill>
                  <pic:spPr bwMode="auto">
                    <a:xfrm>
                      <a:off x="0" y="0"/>
                      <a:ext cx="6036310" cy="347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7583" w:rsidRPr="00011630">
        <w:t xml:space="preserve">These building blocks are described in detail below. </w:t>
      </w:r>
      <w:r w:rsidR="00843743">
        <w:t>Naturally</w:t>
      </w:r>
      <w:r w:rsidR="00980F49" w:rsidRPr="00011630">
        <w:t>,</w:t>
      </w:r>
      <w:r w:rsidR="000E2C4B" w:rsidRPr="00011630">
        <w:t xml:space="preserve"> they are not isolated ‘single’ streams but are nested within each other as </w:t>
      </w:r>
      <w:r w:rsidR="00C805EA" w:rsidRPr="00011630">
        <w:t>illustrated in the Figure</w:t>
      </w:r>
      <w:r w:rsidR="000E2C4B" w:rsidRPr="00011630">
        <w:t xml:space="preserve">. </w:t>
      </w:r>
    </w:p>
    <w:p w14:paraId="7DED07DE" w14:textId="77777777" w:rsidR="00DE29AF" w:rsidRPr="00011630" w:rsidRDefault="00DE29AF" w:rsidP="002651FB">
      <w:pPr>
        <w:ind w:left="0"/>
      </w:pPr>
    </w:p>
    <w:p w14:paraId="00723D7B" w14:textId="297FF724" w:rsidR="00867583" w:rsidRPr="00DE29AF" w:rsidRDefault="00867583" w:rsidP="002651FB">
      <w:pPr>
        <w:pStyle w:val="Heading2"/>
        <w:ind w:left="0"/>
        <w:rPr>
          <w:color w:val="5ABEC1"/>
          <w:sz w:val="32"/>
        </w:rPr>
      </w:pPr>
      <w:r w:rsidRPr="00DE29AF">
        <w:rPr>
          <w:color w:val="5ABEC1"/>
          <w:sz w:val="32"/>
        </w:rPr>
        <w:t xml:space="preserve">3.1 Typology </w:t>
      </w:r>
      <w:r w:rsidR="002F7509" w:rsidRPr="00DE29AF">
        <w:rPr>
          <w:color w:val="5ABEC1"/>
          <w:sz w:val="32"/>
        </w:rPr>
        <w:t xml:space="preserve">and </w:t>
      </w:r>
      <w:r w:rsidR="008621E0" w:rsidRPr="00DE29AF">
        <w:rPr>
          <w:color w:val="5ABEC1"/>
          <w:sz w:val="32"/>
        </w:rPr>
        <w:t xml:space="preserve">prioritisation </w:t>
      </w:r>
      <w:r w:rsidRPr="00DE29AF">
        <w:rPr>
          <w:color w:val="5ABEC1"/>
          <w:sz w:val="32"/>
        </w:rPr>
        <w:t xml:space="preserve">of </w:t>
      </w:r>
      <w:r w:rsidR="003A6ACA" w:rsidRPr="00DE29AF">
        <w:rPr>
          <w:color w:val="5ABEC1"/>
          <w:sz w:val="32"/>
        </w:rPr>
        <w:t>evidence gaps</w:t>
      </w:r>
    </w:p>
    <w:p w14:paraId="12C772F5" w14:textId="74A6B20E" w:rsidR="00D8333B" w:rsidRPr="00011630" w:rsidRDefault="00D8333B" w:rsidP="002651FB">
      <w:pPr>
        <w:ind w:left="0"/>
      </w:pPr>
      <w:r w:rsidRPr="00011630">
        <w:t xml:space="preserve">We propose a </w:t>
      </w:r>
      <w:r w:rsidRPr="00011630">
        <w:rPr>
          <w:u w:val="single"/>
        </w:rPr>
        <w:t>taxonomy</w:t>
      </w:r>
      <w:r w:rsidRPr="00011630">
        <w:t xml:space="preserve"> whereby we distinguish </w:t>
      </w:r>
      <w:r w:rsidR="00C805EA" w:rsidRPr="00011630">
        <w:t>four main</w:t>
      </w:r>
      <w:r w:rsidRPr="00011630">
        <w:t xml:space="preserve"> </w:t>
      </w:r>
      <w:r w:rsidR="003F5F4E" w:rsidRPr="00011630">
        <w:t>types</w:t>
      </w:r>
      <w:r w:rsidRPr="00011630">
        <w:t xml:space="preserve"> of </w:t>
      </w:r>
      <w:r w:rsidR="00FC221F" w:rsidRPr="00011630">
        <w:t>evidence gaps</w:t>
      </w:r>
      <w:r w:rsidR="00C92550" w:rsidRPr="00011630">
        <w:t xml:space="preserve">/ </w:t>
      </w:r>
      <w:r w:rsidRPr="00011630">
        <w:t>uncertainties</w:t>
      </w:r>
      <w:r w:rsidR="00FE5B1B" w:rsidRPr="00011630">
        <w:t xml:space="preserve"> that are common </w:t>
      </w:r>
      <w:r w:rsidR="0090294F" w:rsidRPr="00011630">
        <w:t>at the time of access decisions for</w:t>
      </w:r>
      <w:r w:rsidR="00FE5B1B" w:rsidRPr="00011630">
        <w:t xml:space="preserve"> </w:t>
      </w:r>
      <w:r w:rsidR="00851EE9" w:rsidRPr="00011630">
        <w:t>treatment</w:t>
      </w:r>
      <w:r w:rsidR="00FE5B1B" w:rsidRPr="00011630">
        <w:t xml:space="preserve">s developed for </w:t>
      </w:r>
      <w:r w:rsidR="003F5F4E" w:rsidRPr="00011630">
        <w:t xml:space="preserve">complex or </w:t>
      </w:r>
      <w:r w:rsidR="00FE5B1B" w:rsidRPr="00011630">
        <w:t>rare diseases</w:t>
      </w:r>
      <w:r w:rsidRPr="00011630">
        <w:t>:</w:t>
      </w:r>
    </w:p>
    <w:p w14:paraId="64199A71" w14:textId="31A3A29B" w:rsidR="00D8333B" w:rsidRPr="00011630" w:rsidRDefault="003A6ACA" w:rsidP="00050016">
      <w:pPr>
        <w:pStyle w:val="ListParagraph"/>
        <w:numPr>
          <w:ilvl w:val="0"/>
          <w:numId w:val="3"/>
        </w:numPr>
        <w:spacing w:after="120" w:line="240" w:lineRule="auto"/>
        <w:ind w:left="0" w:firstLine="0"/>
        <w:rPr>
          <w:lang w:val="en-GB"/>
        </w:rPr>
      </w:pPr>
      <w:r w:rsidRPr="00011630">
        <w:rPr>
          <w:lang w:val="en-GB"/>
        </w:rPr>
        <w:t xml:space="preserve">Uncertainties related to </w:t>
      </w:r>
      <w:r w:rsidR="005C4C47" w:rsidRPr="00011630">
        <w:rPr>
          <w:lang w:val="en-GB"/>
        </w:rPr>
        <w:t>the</w:t>
      </w:r>
      <w:r w:rsidRPr="00011630">
        <w:rPr>
          <w:lang w:val="en-GB"/>
        </w:rPr>
        <w:t xml:space="preserve"> </w:t>
      </w:r>
      <w:r w:rsidR="00FC221F" w:rsidRPr="00011630">
        <w:rPr>
          <w:lang w:val="en-GB"/>
        </w:rPr>
        <w:t xml:space="preserve">size </w:t>
      </w:r>
      <w:r w:rsidR="00C805EA" w:rsidRPr="00011630">
        <w:rPr>
          <w:lang w:val="en-GB"/>
        </w:rPr>
        <w:t xml:space="preserve">and characteristics </w:t>
      </w:r>
      <w:r w:rsidR="005C4C47" w:rsidRPr="00011630">
        <w:rPr>
          <w:lang w:val="en-GB"/>
        </w:rPr>
        <w:t xml:space="preserve">of the population </w:t>
      </w:r>
    </w:p>
    <w:p w14:paraId="7FAA056F" w14:textId="60B6D042" w:rsidR="003A6ACA" w:rsidRPr="00011630" w:rsidRDefault="003A6ACA" w:rsidP="00050016">
      <w:pPr>
        <w:pStyle w:val="ListParagraph"/>
        <w:numPr>
          <w:ilvl w:val="0"/>
          <w:numId w:val="3"/>
        </w:numPr>
        <w:spacing w:after="120" w:line="240" w:lineRule="auto"/>
        <w:ind w:left="0" w:firstLine="0"/>
        <w:rPr>
          <w:lang w:val="en-GB"/>
        </w:rPr>
      </w:pPr>
      <w:r w:rsidRPr="00011630">
        <w:rPr>
          <w:lang w:val="en-GB"/>
        </w:rPr>
        <w:t xml:space="preserve">Uncertainties related to the </w:t>
      </w:r>
      <w:r w:rsidR="005C4C47" w:rsidRPr="00011630">
        <w:rPr>
          <w:lang w:val="en-GB"/>
        </w:rPr>
        <w:t xml:space="preserve">natural history of the </w:t>
      </w:r>
      <w:r w:rsidRPr="00011630">
        <w:rPr>
          <w:lang w:val="en-GB"/>
        </w:rPr>
        <w:t xml:space="preserve">disease and </w:t>
      </w:r>
      <w:r w:rsidR="005C4C47" w:rsidRPr="00011630">
        <w:rPr>
          <w:lang w:val="en-GB"/>
        </w:rPr>
        <w:t>its current management</w:t>
      </w:r>
    </w:p>
    <w:p w14:paraId="74F571FA" w14:textId="77777777" w:rsidR="00C805EA" w:rsidRPr="00011630" w:rsidRDefault="00C805EA" w:rsidP="00050016">
      <w:pPr>
        <w:pStyle w:val="ListParagraph"/>
        <w:numPr>
          <w:ilvl w:val="0"/>
          <w:numId w:val="3"/>
        </w:numPr>
        <w:spacing w:after="120" w:line="240" w:lineRule="auto"/>
        <w:ind w:left="0" w:firstLine="0"/>
        <w:rPr>
          <w:lang w:val="en-GB"/>
        </w:rPr>
      </w:pPr>
      <w:r w:rsidRPr="00011630">
        <w:rPr>
          <w:lang w:val="en-GB"/>
        </w:rPr>
        <w:t>Uncertainties related to the new treatment</w:t>
      </w:r>
    </w:p>
    <w:p w14:paraId="0892E8E5" w14:textId="77777777" w:rsidR="00C805EA" w:rsidRPr="00011630" w:rsidRDefault="00C805EA" w:rsidP="00050016">
      <w:pPr>
        <w:pStyle w:val="ListParagraph"/>
        <w:numPr>
          <w:ilvl w:val="0"/>
          <w:numId w:val="3"/>
        </w:numPr>
        <w:spacing w:after="120" w:line="240" w:lineRule="auto"/>
        <w:ind w:left="0" w:firstLine="0"/>
        <w:rPr>
          <w:lang w:val="en-GB"/>
        </w:rPr>
      </w:pPr>
      <w:r w:rsidRPr="00011630">
        <w:rPr>
          <w:lang w:val="en-GB"/>
        </w:rPr>
        <w:t>Uncertainties related to the health eco-system</w:t>
      </w:r>
    </w:p>
    <w:p w14:paraId="4AEBCFE8" w14:textId="1B93DAEB" w:rsidR="00D8333B" w:rsidRPr="00011630" w:rsidRDefault="003F5F4E" w:rsidP="002651FB">
      <w:pPr>
        <w:ind w:left="0"/>
      </w:pPr>
      <w:r w:rsidRPr="00011630">
        <w:t xml:space="preserve">We describe these here in more detail, without the ambition </w:t>
      </w:r>
      <w:r w:rsidR="00C92550" w:rsidRPr="00011630">
        <w:t>to</w:t>
      </w:r>
      <w:r w:rsidRPr="00011630">
        <w:t xml:space="preserve"> provide an exhaustive list. Obviously, for a given dossier multiple uncertainties </w:t>
      </w:r>
      <w:r w:rsidR="001633B4" w:rsidRPr="00011630">
        <w:t>will exist</w:t>
      </w:r>
      <w:r w:rsidRPr="00011630">
        <w:t xml:space="preserve"> at the same time. </w:t>
      </w:r>
    </w:p>
    <w:p w14:paraId="0F33D355" w14:textId="2D2E97EB" w:rsidR="00867583" w:rsidRPr="00011630" w:rsidRDefault="00867583" w:rsidP="002651FB">
      <w:pPr>
        <w:ind w:left="0"/>
      </w:pPr>
      <w:r w:rsidRPr="00011630">
        <w:t>The first set of uncerta</w:t>
      </w:r>
      <w:r w:rsidR="00C92550" w:rsidRPr="00011630">
        <w:t xml:space="preserve">inties are those related to </w:t>
      </w:r>
      <w:r w:rsidR="005C4C47" w:rsidRPr="00011630">
        <w:t xml:space="preserve">the </w:t>
      </w:r>
      <w:r w:rsidR="005C4C47" w:rsidRPr="004C517F">
        <w:rPr>
          <w:i/>
        </w:rPr>
        <w:t xml:space="preserve">size </w:t>
      </w:r>
      <w:r w:rsidR="00C805EA" w:rsidRPr="004C517F">
        <w:rPr>
          <w:i/>
        </w:rPr>
        <w:t xml:space="preserve">and characteristics </w:t>
      </w:r>
      <w:r w:rsidR="005C4C47" w:rsidRPr="004C517F">
        <w:rPr>
          <w:i/>
        </w:rPr>
        <w:t xml:space="preserve">of the </w:t>
      </w:r>
      <w:r w:rsidR="00C92550" w:rsidRPr="004C517F">
        <w:rPr>
          <w:i/>
        </w:rPr>
        <w:t>population</w:t>
      </w:r>
      <w:r w:rsidR="005C4C47" w:rsidRPr="00011630">
        <w:t xml:space="preserve">. </w:t>
      </w:r>
      <w:r w:rsidRPr="00011630">
        <w:t xml:space="preserve">We </w:t>
      </w:r>
      <w:r w:rsidR="00C805EA" w:rsidRPr="00011630">
        <w:t>think hereby of</w:t>
      </w:r>
      <w:r w:rsidRPr="00011630">
        <w:t xml:space="preserve"> uncertainties about:</w:t>
      </w:r>
    </w:p>
    <w:p w14:paraId="7B2C51C8" w14:textId="021C5944" w:rsidR="00C92550" w:rsidRPr="00011630" w:rsidRDefault="00C92550" w:rsidP="00050016">
      <w:pPr>
        <w:pStyle w:val="FipraBullets"/>
        <w:numPr>
          <w:ilvl w:val="0"/>
          <w:numId w:val="4"/>
        </w:numPr>
        <w:spacing w:after="120"/>
        <w:ind w:left="709" w:hanging="709"/>
      </w:pPr>
      <w:r w:rsidRPr="00011630">
        <w:t>the incidenc</w:t>
      </w:r>
      <w:r w:rsidR="005C4C47" w:rsidRPr="00011630">
        <w:t>e and prevalence of the disease;</w:t>
      </w:r>
    </w:p>
    <w:p w14:paraId="6CBBE9BF" w14:textId="317162C1" w:rsidR="00C92550" w:rsidRPr="00011630" w:rsidRDefault="00BF5035" w:rsidP="00050016">
      <w:pPr>
        <w:pStyle w:val="FipraBullets"/>
        <w:numPr>
          <w:ilvl w:val="0"/>
          <w:numId w:val="4"/>
        </w:numPr>
        <w:spacing w:after="120"/>
        <w:ind w:left="709" w:hanging="709"/>
      </w:pPr>
      <w:r>
        <w:t>t</w:t>
      </w:r>
      <w:r w:rsidRPr="00011630">
        <w:t xml:space="preserve">he </w:t>
      </w:r>
      <w:r w:rsidR="00C92550" w:rsidRPr="00011630">
        <w:t>exact size of the target population (high risk, Xth line treatment, …)</w:t>
      </w:r>
      <w:r w:rsidR="005C4C47" w:rsidRPr="00011630">
        <w:t>;</w:t>
      </w:r>
    </w:p>
    <w:p w14:paraId="04F39D0B" w14:textId="65E66652" w:rsidR="00C92550" w:rsidRPr="00011630" w:rsidRDefault="00BF5035" w:rsidP="00050016">
      <w:pPr>
        <w:pStyle w:val="FipraBullets"/>
        <w:numPr>
          <w:ilvl w:val="0"/>
          <w:numId w:val="4"/>
        </w:numPr>
        <w:spacing w:after="120"/>
        <w:ind w:left="709" w:hanging="709"/>
      </w:pPr>
      <w:r>
        <w:lastRenderedPageBreak/>
        <w:t>t</w:t>
      </w:r>
      <w:r w:rsidRPr="00011630">
        <w:t xml:space="preserve">he </w:t>
      </w:r>
      <w:r w:rsidR="00C92550" w:rsidRPr="00011630">
        <w:t xml:space="preserve">characteristics of </w:t>
      </w:r>
      <w:r w:rsidR="002D0164" w:rsidRPr="00011630">
        <w:t>sub population</w:t>
      </w:r>
      <w:r w:rsidR="00C805EA" w:rsidRPr="00011630">
        <w:t>s</w:t>
      </w:r>
      <w:r w:rsidR="002D0164" w:rsidRPr="00011630">
        <w:t xml:space="preserve"> </w:t>
      </w:r>
      <w:r w:rsidR="00980F49" w:rsidRPr="00011630">
        <w:t>and target</w:t>
      </w:r>
      <w:r w:rsidR="00C92550" w:rsidRPr="00011630">
        <w:t xml:space="preserve"> population</w:t>
      </w:r>
      <w:r w:rsidR="00C805EA" w:rsidRPr="00011630">
        <w:t>s</w:t>
      </w:r>
      <w:r w:rsidR="00C92550" w:rsidRPr="00011630">
        <w:t xml:space="preserve"> (age, </w:t>
      </w:r>
      <w:r w:rsidR="005C4C47" w:rsidRPr="00011630">
        <w:t>time since diagnosis);</w:t>
      </w:r>
    </w:p>
    <w:p w14:paraId="4B8A10F8" w14:textId="52F03A52" w:rsidR="002D0164" w:rsidRDefault="00BF5035" w:rsidP="00050016">
      <w:pPr>
        <w:pStyle w:val="FipraBullets"/>
        <w:numPr>
          <w:ilvl w:val="0"/>
          <w:numId w:val="4"/>
        </w:numPr>
        <w:spacing w:after="120"/>
        <w:ind w:left="709" w:hanging="709"/>
      </w:pPr>
      <w:r>
        <w:t>t</w:t>
      </w:r>
      <w:r w:rsidRPr="00011630">
        <w:t xml:space="preserve">he </w:t>
      </w:r>
      <w:r w:rsidR="002D0164" w:rsidRPr="00011630">
        <w:t xml:space="preserve">spectrum </w:t>
      </w:r>
      <w:r w:rsidR="00C75AB6" w:rsidRPr="00011630">
        <w:t xml:space="preserve">and variations </w:t>
      </w:r>
      <w:r w:rsidR="002D0164" w:rsidRPr="00011630">
        <w:t xml:space="preserve">of disease manifestations </w:t>
      </w:r>
      <w:r w:rsidR="005C4C47" w:rsidRPr="00011630">
        <w:t>(mild, moderate, severe symptoms);</w:t>
      </w:r>
    </w:p>
    <w:p w14:paraId="09DEB2EB" w14:textId="1F7EFA32" w:rsidR="00BF5035" w:rsidRDefault="00775D24" w:rsidP="00050016">
      <w:pPr>
        <w:pStyle w:val="FipraBullets"/>
        <w:numPr>
          <w:ilvl w:val="0"/>
          <w:numId w:val="4"/>
        </w:numPr>
        <w:spacing w:after="120"/>
        <w:ind w:left="0" w:firstLine="0"/>
      </w:pPr>
      <w:r>
        <w:t>g</w:t>
      </w:r>
      <w:r w:rsidR="00BF5035">
        <w:t>enotyp</w:t>
      </w:r>
      <w:r>
        <w:t>ing, phenotyping,…</w:t>
      </w:r>
      <w:r w:rsidR="00BF5035">
        <w:t xml:space="preserve">; </w:t>
      </w:r>
    </w:p>
    <w:p w14:paraId="1E78857D" w14:textId="0EE5FAB2" w:rsidR="00C92550" w:rsidRPr="00011630" w:rsidRDefault="00230600" w:rsidP="00050016">
      <w:pPr>
        <w:pStyle w:val="FipraBullets"/>
        <w:numPr>
          <w:ilvl w:val="0"/>
          <w:numId w:val="4"/>
        </w:numPr>
        <w:spacing w:after="120"/>
        <w:ind w:left="0" w:firstLine="0"/>
      </w:pPr>
      <w:r>
        <w:t>local variations</w:t>
      </w:r>
      <w:r w:rsidR="00C92550" w:rsidRPr="00011630">
        <w:t>…</w:t>
      </w:r>
    </w:p>
    <w:p w14:paraId="7A95D82A" w14:textId="028EEB11" w:rsidR="00C92550" w:rsidRPr="00011630" w:rsidRDefault="00C92550" w:rsidP="002651FB">
      <w:pPr>
        <w:ind w:left="0"/>
      </w:pPr>
      <w:r w:rsidRPr="00011630">
        <w:t>The second set of uncertainties is about the</w:t>
      </w:r>
      <w:r w:rsidR="005C4C47" w:rsidRPr="00011630">
        <w:t xml:space="preserve"> </w:t>
      </w:r>
      <w:r w:rsidR="005C4C47" w:rsidRPr="004C517F">
        <w:rPr>
          <w:i/>
        </w:rPr>
        <w:t>natural history of the dis</w:t>
      </w:r>
      <w:r w:rsidR="00C805EA" w:rsidRPr="004C517F">
        <w:rPr>
          <w:i/>
        </w:rPr>
        <w:t>ease</w:t>
      </w:r>
      <w:r w:rsidR="00C805EA" w:rsidRPr="00011630">
        <w:t xml:space="preserve"> and its </w:t>
      </w:r>
      <w:r w:rsidR="00C805EA" w:rsidRPr="004C517F">
        <w:rPr>
          <w:i/>
        </w:rPr>
        <w:t>current management</w:t>
      </w:r>
      <w:r w:rsidR="00C805EA" w:rsidRPr="00011630">
        <w:t xml:space="preserve">, such as: </w:t>
      </w:r>
      <w:r w:rsidR="005C4C47" w:rsidRPr="00011630">
        <w:t xml:space="preserve"> </w:t>
      </w:r>
    </w:p>
    <w:p w14:paraId="5B193C97" w14:textId="66A3267D" w:rsidR="00867583" w:rsidRPr="00011630" w:rsidRDefault="00867583" w:rsidP="00050016">
      <w:pPr>
        <w:pStyle w:val="FipraBullets"/>
        <w:numPr>
          <w:ilvl w:val="0"/>
          <w:numId w:val="5"/>
        </w:numPr>
        <w:spacing w:after="120"/>
        <w:ind w:left="709" w:hanging="709"/>
      </w:pPr>
      <w:r w:rsidRPr="00011630">
        <w:t xml:space="preserve">the </w:t>
      </w:r>
      <w:r w:rsidR="005C4C47" w:rsidRPr="00011630">
        <w:t xml:space="preserve">typical </w:t>
      </w:r>
      <w:r w:rsidRPr="00011630">
        <w:t>natural course or history of the disease</w:t>
      </w:r>
      <w:r w:rsidR="005C4C47" w:rsidRPr="00011630">
        <w:t xml:space="preserve"> over time;</w:t>
      </w:r>
    </w:p>
    <w:p w14:paraId="24F5C7F9" w14:textId="4FF1BEE9" w:rsidR="005C4C47" w:rsidRPr="00011630" w:rsidRDefault="005C4C47" w:rsidP="00050016">
      <w:pPr>
        <w:pStyle w:val="FipraBullets"/>
        <w:numPr>
          <w:ilvl w:val="0"/>
          <w:numId w:val="5"/>
        </w:numPr>
        <w:spacing w:after="120"/>
        <w:ind w:left="709" w:hanging="709"/>
      </w:pPr>
      <w:r w:rsidRPr="00011630">
        <w:t>prognosis;</w:t>
      </w:r>
    </w:p>
    <w:p w14:paraId="6A4F1E87" w14:textId="15BB91BB" w:rsidR="00D365E0" w:rsidRPr="00C065CD" w:rsidRDefault="00D365E0" w:rsidP="00050016">
      <w:pPr>
        <w:pStyle w:val="FipraBullets"/>
        <w:numPr>
          <w:ilvl w:val="0"/>
          <w:numId w:val="5"/>
        </w:numPr>
        <w:spacing w:after="120"/>
        <w:ind w:left="709" w:hanging="709"/>
      </w:pPr>
      <w:r w:rsidRPr="00011630">
        <w:t xml:space="preserve">current </w:t>
      </w:r>
      <w:r w:rsidRPr="00C065CD">
        <w:t xml:space="preserve">standards of care </w:t>
      </w:r>
      <w:r w:rsidR="00775D24" w:rsidRPr="00C065CD">
        <w:t>(e.g.</w:t>
      </w:r>
      <w:r w:rsidR="00BF5035" w:rsidRPr="00C065CD">
        <w:t xml:space="preserve"> what are these standards, are they optimal, …) </w:t>
      </w:r>
      <w:r w:rsidRPr="00C065CD">
        <w:t xml:space="preserve">and </w:t>
      </w:r>
      <w:r w:rsidR="0011367A" w:rsidRPr="00C065CD">
        <w:t>relevant comparator</w:t>
      </w:r>
      <w:r w:rsidR="00F96296" w:rsidRPr="00C065CD">
        <w:t xml:space="preserve"> (might be best supportive care</w:t>
      </w:r>
      <w:r w:rsidR="001E652D" w:rsidRPr="00C065CD">
        <w:t>;</w:t>
      </w:r>
      <w:r w:rsidR="00230600" w:rsidRPr="00C065CD">
        <w:t xml:space="preserve"> might also shift over time</w:t>
      </w:r>
      <w:r w:rsidR="00F96296" w:rsidRPr="00C065CD">
        <w:t>)</w:t>
      </w:r>
      <w:r w:rsidR="005C4C47" w:rsidRPr="00C065CD">
        <w:t>;</w:t>
      </w:r>
      <w:r w:rsidR="0011367A" w:rsidRPr="00C065CD">
        <w:rPr>
          <w:rStyle w:val="FootnoteReference"/>
        </w:rPr>
        <w:footnoteReference w:id="13"/>
      </w:r>
    </w:p>
    <w:p w14:paraId="3B034820" w14:textId="2E76499B" w:rsidR="00E47448" w:rsidRPr="00C065CD" w:rsidRDefault="00867583" w:rsidP="00050016">
      <w:pPr>
        <w:pStyle w:val="FipraBullets"/>
        <w:numPr>
          <w:ilvl w:val="0"/>
          <w:numId w:val="5"/>
        </w:numPr>
        <w:spacing w:after="120"/>
        <w:ind w:left="709" w:hanging="709"/>
      </w:pPr>
      <w:r w:rsidRPr="00C065CD">
        <w:t xml:space="preserve">the </w:t>
      </w:r>
      <w:r w:rsidR="00F2291E" w:rsidRPr="00C065CD">
        <w:t xml:space="preserve">relevant endpoints </w:t>
      </w:r>
      <w:r w:rsidR="002F7509" w:rsidRPr="00C065CD">
        <w:t xml:space="preserve">for clinicians and patients </w:t>
      </w:r>
      <w:r w:rsidR="00F2291E" w:rsidRPr="00C065CD">
        <w:t>to asses</w:t>
      </w:r>
      <w:r w:rsidR="00E47448" w:rsidRPr="00C065CD">
        <w:t>s and monitor the disease state</w:t>
      </w:r>
      <w:r w:rsidR="005C4C47" w:rsidRPr="00C065CD">
        <w:t>;</w:t>
      </w:r>
    </w:p>
    <w:p w14:paraId="27C72664" w14:textId="52DCAB6A" w:rsidR="00867583" w:rsidRPr="00011630" w:rsidRDefault="00867583" w:rsidP="00050016">
      <w:pPr>
        <w:pStyle w:val="FipraBullets"/>
        <w:numPr>
          <w:ilvl w:val="0"/>
          <w:numId w:val="5"/>
        </w:numPr>
        <w:spacing w:after="120"/>
        <w:ind w:left="709" w:hanging="709"/>
      </w:pPr>
      <w:r w:rsidRPr="00C065CD">
        <w:t>the extent of the unmet need, in terms of impact of the disease</w:t>
      </w:r>
      <w:r w:rsidRPr="00011630">
        <w:t xml:space="preserve"> </w:t>
      </w:r>
      <w:r w:rsidR="00775D24">
        <w:t xml:space="preserve">and the way it is currently managed </w:t>
      </w:r>
      <w:r w:rsidRPr="00011630">
        <w:t xml:space="preserve">on quality of life and survival, </w:t>
      </w:r>
      <w:r w:rsidR="00C92550" w:rsidRPr="00011630">
        <w:t>and</w:t>
      </w:r>
      <w:r w:rsidRPr="00011630">
        <w:t xml:space="preserve"> the </w:t>
      </w:r>
      <w:r w:rsidR="00A42DFA" w:rsidRPr="00011630">
        <w:t>variability</w:t>
      </w:r>
      <w:r w:rsidR="00C92550" w:rsidRPr="00011630">
        <w:t xml:space="preserve"> herein</w:t>
      </w:r>
      <w:r w:rsidR="00A42DFA" w:rsidRPr="00011630">
        <w:t xml:space="preserve"> observed between patients</w:t>
      </w:r>
      <w:r w:rsidR="005C4C47" w:rsidRPr="00011630">
        <w:t>;</w:t>
      </w:r>
      <w:r w:rsidR="00A42DFA" w:rsidRPr="00011630">
        <w:t xml:space="preserve"> </w:t>
      </w:r>
    </w:p>
    <w:p w14:paraId="7E7F5318" w14:textId="38ACA7BC" w:rsidR="00C92550" w:rsidRPr="00011630" w:rsidRDefault="00C92550" w:rsidP="00050016">
      <w:pPr>
        <w:pStyle w:val="FipraBullets"/>
        <w:numPr>
          <w:ilvl w:val="0"/>
          <w:numId w:val="5"/>
        </w:numPr>
        <w:spacing w:after="120"/>
        <w:ind w:left="709" w:hanging="709"/>
      </w:pPr>
      <w:r w:rsidRPr="00011630">
        <w:t>…</w:t>
      </w:r>
    </w:p>
    <w:p w14:paraId="68C4A431" w14:textId="0EACBFA7" w:rsidR="00D8333B" w:rsidRPr="00011630" w:rsidRDefault="00D8333B" w:rsidP="002651FB">
      <w:pPr>
        <w:ind w:left="0"/>
      </w:pPr>
      <w:r w:rsidRPr="00011630">
        <w:t xml:space="preserve">The </w:t>
      </w:r>
      <w:r w:rsidR="00C92550" w:rsidRPr="00011630">
        <w:t>third</w:t>
      </w:r>
      <w:r w:rsidRPr="00011630">
        <w:t xml:space="preserve"> set of uncertainties </w:t>
      </w:r>
      <w:r w:rsidR="00C92550" w:rsidRPr="00011630">
        <w:t>is</w:t>
      </w:r>
      <w:r w:rsidRPr="00011630">
        <w:t xml:space="preserve"> related to the </w:t>
      </w:r>
      <w:r w:rsidR="003F5F4E" w:rsidRPr="004C517F">
        <w:rPr>
          <w:i/>
        </w:rPr>
        <w:t xml:space="preserve">new </w:t>
      </w:r>
      <w:r w:rsidR="0008781A" w:rsidRPr="004C517F">
        <w:rPr>
          <w:i/>
        </w:rPr>
        <w:t>treatment</w:t>
      </w:r>
      <w:r w:rsidR="00C92550" w:rsidRPr="00011630">
        <w:t xml:space="preserve">. </w:t>
      </w:r>
      <w:r w:rsidRPr="00011630">
        <w:t xml:space="preserve">We </w:t>
      </w:r>
      <w:r w:rsidR="002F7509" w:rsidRPr="00011630">
        <w:t>think</w:t>
      </w:r>
      <w:r w:rsidRPr="00011630">
        <w:t xml:space="preserve"> here</w:t>
      </w:r>
      <w:r w:rsidR="002F7509" w:rsidRPr="00011630">
        <w:t>by of</w:t>
      </w:r>
      <w:r w:rsidRPr="00011630">
        <w:t xml:space="preserve"> uncertainties about:  </w:t>
      </w:r>
    </w:p>
    <w:p w14:paraId="7E6CA3A5" w14:textId="74E840C0" w:rsidR="00775D24" w:rsidRDefault="00775D24" w:rsidP="00050016">
      <w:pPr>
        <w:pStyle w:val="FipraBullets"/>
        <w:numPr>
          <w:ilvl w:val="0"/>
          <w:numId w:val="6"/>
        </w:numPr>
        <w:spacing w:after="120"/>
        <w:ind w:left="709" w:hanging="709"/>
      </w:pPr>
      <w:r w:rsidRPr="00011630">
        <w:t xml:space="preserve">the </w:t>
      </w:r>
      <w:r>
        <w:t>size</w:t>
      </w:r>
      <w:r w:rsidRPr="00011630">
        <w:t xml:space="preserve"> of the treatment effect</w:t>
      </w:r>
      <w:r>
        <w:t xml:space="preserve"> (e.g. large confidence interval resulting from the trial)</w:t>
      </w:r>
      <w:r w:rsidRPr="00011630">
        <w:t>;</w:t>
      </w:r>
    </w:p>
    <w:p w14:paraId="0D08ED3B" w14:textId="59A0E48B" w:rsidR="00230600" w:rsidRDefault="00230600" w:rsidP="00050016">
      <w:pPr>
        <w:pStyle w:val="FipraBullets"/>
        <w:numPr>
          <w:ilvl w:val="0"/>
          <w:numId w:val="6"/>
        </w:numPr>
        <w:spacing w:after="120"/>
        <w:ind w:left="709" w:hanging="709"/>
      </w:pPr>
      <w:r>
        <w:t>optimum posology</w:t>
      </w:r>
    </w:p>
    <w:p w14:paraId="0C6C8DBA" w14:textId="02E29BCF" w:rsidR="00230600" w:rsidRDefault="00230600" w:rsidP="00050016">
      <w:pPr>
        <w:pStyle w:val="FipraBullets"/>
        <w:numPr>
          <w:ilvl w:val="0"/>
          <w:numId w:val="6"/>
        </w:numPr>
        <w:spacing w:after="120"/>
        <w:ind w:left="709" w:hanging="709"/>
      </w:pPr>
      <w:r>
        <w:t>treatment effect with different subgroups</w:t>
      </w:r>
    </w:p>
    <w:p w14:paraId="38DEFD36" w14:textId="43F67C9F" w:rsidR="00446706" w:rsidRPr="00011630" w:rsidRDefault="00775D24" w:rsidP="00050016">
      <w:pPr>
        <w:pStyle w:val="FipraBullets"/>
        <w:numPr>
          <w:ilvl w:val="0"/>
          <w:numId w:val="6"/>
        </w:numPr>
        <w:spacing w:after="120"/>
        <w:ind w:left="709" w:hanging="709"/>
      </w:pPr>
      <w:r>
        <w:t xml:space="preserve">the size of the </w:t>
      </w:r>
      <w:r w:rsidR="005C4C47" w:rsidRPr="00011630">
        <w:t>ef</w:t>
      </w:r>
      <w:r w:rsidR="00446706" w:rsidRPr="00011630">
        <w:t xml:space="preserve">fect in the </w:t>
      </w:r>
      <w:r w:rsidR="002F7509" w:rsidRPr="00011630">
        <w:t xml:space="preserve">real </w:t>
      </w:r>
      <w:r w:rsidR="00446706" w:rsidRPr="00011630">
        <w:t>target population when the trial population is different</w:t>
      </w:r>
      <w:r w:rsidR="00F96296" w:rsidRPr="00011630">
        <w:t>;</w:t>
      </w:r>
    </w:p>
    <w:p w14:paraId="797EF728" w14:textId="37F3DBA2" w:rsidR="00E93E62" w:rsidRPr="00011630" w:rsidRDefault="00E93E62" w:rsidP="00050016">
      <w:pPr>
        <w:pStyle w:val="FipraBullets"/>
        <w:numPr>
          <w:ilvl w:val="0"/>
          <w:numId w:val="6"/>
        </w:numPr>
        <w:spacing w:after="120"/>
        <w:ind w:left="709" w:hanging="709"/>
      </w:pPr>
      <w:r w:rsidRPr="00011630">
        <w:t xml:space="preserve">the relationship between biomarker or short-term outcomes and </w:t>
      </w:r>
      <w:r w:rsidR="00980F49" w:rsidRPr="00011630">
        <w:t>longer-term</w:t>
      </w:r>
      <w:r w:rsidRPr="00011630">
        <w:t xml:space="preserve"> clinical endpoints (such as </w:t>
      </w:r>
      <w:r w:rsidR="00980F49" w:rsidRPr="00011630">
        <w:t>long-term</w:t>
      </w:r>
      <w:r w:rsidRPr="00011630">
        <w:t xml:space="preserve"> survival);</w:t>
      </w:r>
    </w:p>
    <w:p w14:paraId="3C6A7812" w14:textId="77777777" w:rsidR="007B23FB" w:rsidRPr="00011630" w:rsidRDefault="007B23FB" w:rsidP="00050016">
      <w:pPr>
        <w:pStyle w:val="FipraBullets"/>
        <w:numPr>
          <w:ilvl w:val="0"/>
          <w:numId w:val="6"/>
        </w:numPr>
        <w:spacing w:after="120"/>
        <w:ind w:left="709" w:hanging="709"/>
      </w:pPr>
      <w:r w:rsidRPr="00011630">
        <w:t xml:space="preserve">in which patients the treatment works best; </w:t>
      </w:r>
    </w:p>
    <w:p w14:paraId="1FACE273" w14:textId="77777777" w:rsidR="00451E51" w:rsidRDefault="00775D24" w:rsidP="00050016">
      <w:pPr>
        <w:pStyle w:val="FipraBullets"/>
        <w:numPr>
          <w:ilvl w:val="0"/>
          <w:numId w:val="6"/>
        </w:numPr>
        <w:spacing w:after="120"/>
        <w:ind w:left="709" w:hanging="709"/>
      </w:pPr>
      <w:r>
        <w:t xml:space="preserve">durability of the effect, e.g. </w:t>
      </w:r>
      <w:r w:rsidR="003F5F4E" w:rsidRPr="00011630">
        <w:t xml:space="preserve">the possibility of a waning </w:t>
      </w:r>
      <w:r w:rsidR="00183CCD" w:rsidRPr="00011630">
        <w:t xml:space="preserve">of </w:t>
      </w:r>
      <w:r w:rsidR="003F5F4E" w:rsidRPr="00011630">
        <w:t>effect</w:t>
      </w:r>
      <w:r w:rsidR="00183CCD" w:rsidRPr="00011630">
        <w:t>,</w:t>
      </w:r>
      <w:r w:rsidR="003F5F4E" w:rsidRPr="00011630">
        <w:t xml:space="preserve"> or a recurrence, as well as the possibility to retreat after recurrence;</w:t>
      </w:r>
    </w:p>
    <w:p w14:paraId="18D94462" w14:textId="6D165C99" w:rsidR="003F5F4E" w:rsidRPr="00011630" w:rsidRDefault="00451E51" w:rsidP="00050016">
      <w:pPr>
        <w:pStyle w:val="FipraBullets"/>
        <w:numPr>
          <w:ilvl w:val="0"/>
          <w:numId w:val="6"/>
        </w:numPr>
        <w:spacing w:after="120"/>
        <w:ind w:left="709" w:hanging="709"/>
      </w:pPr>
      <w:r>
        <w:t>the way in which the new treatment will modify the treatment sequence and related outcomes;</w:t>
      </w:r>
    </w:p>
    <w:p w14:paraId="3688EDA2" w14:textId="46B8B445" w:rsidR="003F5F4E" w:rsidRPr="00011630" w:rsidRDefault="003F5F4E" w:rsidP="00050016">
      <w:pPr>
        <w:pStyle w:val="FipraBullets"/>
        <w:numPr>
          <w:ilvl w:val="0"/>
          <w:numId w:val="6"/>
        </w:numPr>
        <w:spacing w:after="120"/>
        <w:ind w:left="709" w:hanging="709"/>
      </w:pPr>
      <w:r w:rsidRPr="00011630">
        <w:t xml:space="preserve">the </w:t>
      </w:r>
      <w:r w:rsidR="00D365E0" w:rsidRPr="00011630">
        <w:t>ability</w:t>
      </w:r>
      <w:r w:rsidR="00A42DFA" w:rsidRPr="00011630">
        <w:t xml:space="preserve"> </w:t>
      </w:r>
      <w:r w:rsidRPr="00011630">
        <w:t xml:space="preserve">of a biomarker </w:t>
      </w:r>
      <w:r w:rsidR="00A42DFA" w:rsidRPr="00011630">
        <w:t xml:space="preserve">to predict a </w:t>
      </w:r>
      <w:r w:rsidRPr="00011630">
        <w:t xml:space="preserve">treatment effect; </w:t>
      </w:r>
    </w:p>
    <w:p w14:paraId="42F98C1A" w14:textId="5D66BEF7" w:rsidR="00D8333B" w:rsidRPr="00011630" w:rsidRDefault="007B23FB" w:rsidP="00050016">
      <w:pPr>
        <w:pStyle w:val="FipraBullets"/>
        <w:numPr>
          <w:ilvl w:val="0"/>
          <w:numId w:val="6"/>
        </w:numPr>
        <w:spacing w:after="120"/>
        <w:ind w:left="709" w:hanging="709"/>
      </w:pPr>
      <w:r w:rsidRPr="00011630">
        <w:t xml:space="preserve">adverse events and safety; </w:t>
      </w:r>
    </w:p>
    <w:p w14:paraId="49B8F04F" w14:textId="618F1078" w:rsidR="002F7509" w:rsidRPr="00011630" w:rsidRDefault="002F7509" w:rsidP="00050016">
      <w:pPr>
        <w:pStyle w:val="FipraBullets"/>
        <w:numPr>
          <w:ilvl w:val="0"/>
          <w:numId w:val="6"/>
        </w:numPr>
        <w:spacing w:after="120"/>
        <w:ind w:left="709" w:hanging="709"/>
      </w:pPr>
      <w:r w:rsidRPr="00011630">
        <w:t>…</w:t>
      </w:r>
    </w:p>
    <w:p w14:paraId="3C131407" w14:textId="7E8C9AC5" w:rsidR="00D8333B" w:rsidRPr="00011630" w:rsidRDefault="002F7509" w:rsidP="002651FB">
      <w:pPr>
        <w:pStyle w:val="ListParagraph"/>
        <w:ind w:left="0"/>
        <w:rPr>
          <w:lang w:val="en-GB"/>
        </w:rPr>
      </w:pPr>
      <w:r w:rsidRPr="00011630">
        <w:rPr>
          <w:lang w:val="en-GB"/>
        </w:rPr>
        <w:lastRenderedPageBreak/>
        <w:t xml:space="preserve">Finally, a set of uncertainties is related to the </w:t>
      </w:r>
      <w:r w:rsidRPr="004C517F">
        <w:rPr>
          <w:i/>
          <w:lang w:val="en-GB"/>
        </w:rPr>
        <w:t>h</w:t>
      </w:r>
      <w:r w:rsidR="00D8333B" w:rsidRPr="004C517F">
        <w:rPr>
          <w:i/>
          <w:lang w:val="en-GB"/>
        </w:rPr>
        <w:t xml:space="preserve">ealthcare </w:t>
      </w:r>
      <w:r w:rsidRPr="004C517F">
        <w:rPr>
          <w:i/>
          <w:lang w:val="en-GB"/>
        </w:rPr>
        <w:t>eco-</w:t>
      </w:r>
      <w:r w:rsidR="00D8333B" w:rsidRPr="004C517F">
        <w:rPr>
          <w:i/>
          <w:lang w:val="en-GB"/>
        </w:rPr>
        <w:t>system</w:t>
      </w:r>
      <w:r w:rsidR="00D8333B" w:rsidRPr="00011630">
        <w:rPr>
          <w:lang w:val="en-GB"/>
        </w:rPr>
        <w:t xml:space="preserve"> </w:t>
      </w:r>
      <w:r w:rsidRPr="00011630">
        <w:rPr>
          <w:lang w:val="en-GB"/>
        </w:rPr>
        <w:t xml:space="preserve">and its </w:t>
      </w:r>
      <w:r w:rsidR="00D8333B" w:rsidRPr="00011630">
        <w:rPr>
          <w:lang w:val="en-GB"/>
        </w:rPr>
        <w:t xml:space="preserve">actors (patients, clinicians, hospitals, …). We distinguish here uncertainties about: </w:t>
      </w:r>
    </w:p>
    <w:p w14:paraId="7AD88641" w14:textId="329336BB" w:rsidR="00D8333B" w:rsidRPr="00011630" w:rsidRDefault="00D8333B" w:rsidP="00050016">
      <w:pPr>
        <w:pStyle w:val="FipraBullets"/>
        <w:numPr>
          <w:ilvl w:val="0"/>
          <w:numId w:val="7"/>
        </w:numPr>
        <w:spacing w:after="120"/>
        <w:ind w:left="709" w:hanging="709"/>
      </w:pPr>
      <w:r w:rsidRPr="00011630">
        <w:t>patient acceptability and c</w:t>
      </w:r>
      <w:r w:rsidR="002F7509" w:rsidRPr="00011630">
        <w:t>ompliance</w:t>
      </w:r>
      <w:r w:rsidR="006C154E">
        <w:t xml:space="preserve"> (which are obviously also influenced by the medical need, QoL and treatment effect)</w:t>
      </w:r>
      <w:r w:rsidR="008E2C20" w:rsidRPr="00011630">
        <w:t xml:space="preserve">; </w:t>
      </w:r>
    </w:p>
    <w:p w14:paraId="5FA35EB4" w14:textId="6D69DED3" w:rsidR="00D8333B" w:rsidRPr="00011630" w:rsidRDefault="00D8333B" w:rsidP="00050016">
      <w:pPr>
        <w:pStyle w:val="FipraBullets"/>
        <w:numPr>
          <w:ilvl w:val="0"/>
          <w:numId w:val="7"/>
        </w:numPr>
        <w:spacing w:after="120"/>
        <w:ind w:left="709" w:hanging="709"/>
      </w:pPr>
      <w:r w:rsidRPr="00011630">
        <w:t xml:space="preserve">provider prescription patterns and capacity to work with the </w:t>
      </w:r>
      <w:r w:rsidR="00183CCD" w:rsidRPr="00011630">
        <w:t xml:space="preserve">current and new </w:t>
      </w:r>
      <w:r w:rsidR="0008781A" w:rsidRPr="00011630">
        <w:t>treatment</w:t>
      </w:r>
      <w:r w:rsidR="008E2C20" w:rsidRPr="00011630">
        <w:t>;</w:t>
      </w:r>
      <w:r w:rsidRPr="00011630">
        <w:t xml:space="preserve"> </w:t>
      </w:r>
    </w:p>
    <w:p w14:paraId="673A033E" w14:textId="02A49ED7" w:rsidR="008E2C20" w:rsidRPr="00011630" w:rsidRDefault="00D8333B" w:rsidP="00050016">
      <w:pPr>
        <w:pStyle w:val="FipraBullets"/>
        <w:numPr>
          <w:ilvl w:val="0"/>
          <w:numId w:val="7"/>
        </w:numPr>
        <w:spacing w:after="120"/>
        <w:ind w:left="709" w:hanging="709"/>
      </w:pPr>
      <w:r w:rsidRPr="00011630">
        <w:t>consequences to the health care system</w:t>
      </w:r>
      <w:r w:rsidR="0049341F" w:rsidRPr="00011630">
        <w:t xml:space="preserve"> budget</w:t>
      </w:r>
      <w:r w:rsidR="008E2C20" w:rsidRPr="00011630">
        <w:t xml:space="preserve"> (extra costs or cost offsets);</w:t>
      </w:r>
    </w:p>
    <w:p w14:paraId="6D59F0D9" w14:textId="4205085D" w:rsidR="008E2C20" w:rsidRPr="00011630" w:rsidRDefault="008E2C20" w:rsidP="00050016">
      <w:pPr>
        <w:pStyle w:val="FipraBullets"/>
        <w:numPr>
          <w:ilvl w:val="0"/>
          <w:numId w:val="7"/>
        </w:numPr>
        <w:spacing w:after="120"/>
        <w:ind w:left="709" w:hanging="709"/>
      </w:pPr>
      <w:r w:rsidRPr="00011630">
        <w:t>consequences to society (reduced absenteeism, …)</w:t>
      </w:r>
      <w:r w:rsidR="00F96296" w:rsidRPr="00011630">
        <w:t>;</w:t>
      </w:r>
    </w:p>
    <w:p w14:paraId="11A00D2A" w14:textId="5098C613" w:rsidR="00A42DFA" w:rsidRPr="00011630" w:rsidRDefault="002F7509" w:rsidP="00050016">
      <w:pPr>
        <w:pStyle w:val="FipraBullets"/>
        <w:numPr>
          <w:ilvl w:val="0"/>
          <w:numId w:val="7"/>
        </w:numPr>
        <w:spacing w:after="120"/>
        <w:ind w:left="709" w:hanging="709"/>
      </w:pPr>
      <w:r w:rsidRPr="00011630">
        <w:t>d</w:t>
      </w:r>
      <w:r w:rsidR="00F96296" w:rsidRPr="00011630">
        <w:t>iagnostic capabilities;</w:t>
      </w:r>
    </w:p>
    <w:p w14:paraId="528B8805" w14:textId="695A0CF4" w:rsidR="00A42DFA" w:rsidRPr="00011630" w:rsidRDefault="002F7509" w:rsidP="00050016">
      <w:pPr>
        <w:pStyle w:val="FipraBullets"/>
        <w:numPr>
          <w:ilvl w:val="0"/>
          <w:numId w:val="7"/>
        </w:numPr>
        <w:spacing w:after="120"/>
        <w:ind w:left="709" w:hanging="709"/>
      </w:pPr>
      <w:r w:rsidRPr="00011630">
        <w:t>a</w:t>
      </w:r>
      <w:r w:rsidR="00117BB3" w:rsidRPr="00011630">
        <w:t>lt</w:t>
      </w:r>
      <w:r w:rsidRPr="00011630">
        <w:t>eration of organisation of care</w:t>
      </w:r>
      <w:r w:rsidR="00F96296" w:rsidRPr="00011630">
        <w:t>;</w:t>
      </w:r>
    </w:p>
    <w:p w14:paraId="1B051829" w14:textId="1FFAA25B" w:rsidR="002F7509" w:rsidRPr="00011630" w:rsidRDefault="002F7509" w:rsidP="00050016">
      <w:pPr>
        <w:pStyle w:val="FipraBullets"/>
        <w:numPr>
          <w:ilvl w:val="0"/>
          <w:numId w:val="7"/>
        </w:numPr>
        <w:spacing w:after="120"/>
        <w:ind w:left="709" w:hanging="709"/>
      </w:pPr>
      <w:r w:rsidRPr="00011630">
        <w:t>…</w:t>
      </w:r>
    </w:p>
    <w:p w14:paraId="70BD8215" w14:textId="77777777" w:rsidR="002F7509" w:rsidRPr="00011630" w:rsidRDefault="002F7509" w:rsidP="002651FB">
      <w:pPr>
        <w:pStyle w:val="FipraBullets"/>
        <w:numPr>
          <w:ilvl w:val="0"/>
          <w:numId w:val="0"/>
        </w:numPr>
        <w:spacing w:after="120"/>
      </w:pPr>
    </w:p>
    <w:p w14:paraId="4ECF5538" w14:textId="20F0E726" w:rsidR="002F7509" w:rsidRPr="00011630" w:rsidRDefault="002F7509" w:rsidP="002651FB">
      <w:pPr>
        <w:pStyle w:val="FipraBullets"/>
        <w:numPr>
          <w:ilvl w:val="0"/>
          <w:numId w:val="0"/>
        </w:numPr>
      </w:pPr>
      <w:r w:rsidRPr="00011630">
        <w:t xml:space="preserve">The tool involves as a first step that the key present and expected data gaps for a given “dossier” are explicitly listed early in the development of the </w:t>
      </w:r>
      <w:r w:rsidR="0008781A" w:rsidRPr="00011630">
        <w:t>treatment</w:t>
      </w:r>
      <w:r w:rsidRPr="00011630">
        <w:t xml:space="preserve">. </w:t>
      </w:r>
    </w:p>
    <w:p w14:paraId="7DF6EFE0" w14:textId="77777777" w:rsidR="002F7509" w:rsidRPr="00011630" w:rsidRDefault="002F7509" w:rsidP="002651FB">
      <w:pPr>
        <w:pStyle w:val="FipraBullets"/>
        <w:numPr>
          <w:ilvl w:val="0"/>
          <w:numId w:val="0"/>
        </w:numPr>
      </w:pPr>
    </w:p>
    <w:p w14:paraId="05E34A3D" w14:textId="55362990" w:rsidR="002F7509" w:rsidRPr="00011630" w:rsidRDefault="00980F49" w:rsidP="002651FB">
      <w:pPr>
        <w:pStyle w:val="FipraBullets"/>
        <w:numPr>
          <w:ilvl w:val="0"/>
          <w:numId w:val="0"/>
        </w:numPr>
      </w:pPr>
      <w:r w:rsidRPr="00011630">
        <w:t>Obviously,</w:t>
      </w:r>
      <w:r w:rsidR="002F7509" w:rsidRPr="00011630">
        <w:t xml:space="preserve"> uncertainties and data gaps evolve over time. </w:t>
      </w:r>
      <w:r w:rsidR="00775D24">
        <w:t xml:space="preserve">They might be explained by a combination of factors related to the </w:t>
      </w:r>
      <w:r w:rsidR="00775D24" w:rsidRPr="006C154E">
        <w:rPr>
          <w:i/>
        </w:rPr>
        <w:t>nature</w:t>
      </w:r>
      <w:r w:rsidR="00775D24">
        <w:t xml:space="preserve"> of the disease, </w:t>
      </w:r>
      <w:r w:rsidR="006C154E">
        <w:t>its treatment</w:t>
      </w:r>
      <w:r w:rsidR="00775D24">
        <w:t xml:space="preserve"> or the system as well as to the quality of the (planned) </w:t>
      </w:r>
      <w:r w:rsidR="00775D24" w:rsidRPr="006C154E">
        <w:rPr>
          <w:i/>
        </w:rPr>
        <w:t>evidence generation</w:t>
      </w:r>
      <w:r w:rsidR="00775D24">
        <w:t xml:space="preserve">. </w:t>
      </w:r>
      <w:r w:rsidR="002F7509" w:rsidRPr="00011630">
        <w:t xml:space="preserve">At the time of submission for HTA some data gaps will be unavoidable (for instance long term effect on survival); others might be avoidable if the right data are </w:t>
      </w:r>
      <w:r w:rsidR="00775D24">
        <w:t>obtained</w:t>
      </w:r>
      <w:r w:rsidR="00775D24" w:rsidRPr="00011630" w:rsidDel="00775D24">
        <w:t xml:space="preserve"> </w:t>
      </w:r>
      <w:r w:rsidR="002F7509" w:rsidRPr="00011630">
        <w:t xml:space="preserve">during the development process. </w:t>
      </w:r>
    </w:p>
    <w:p w14:paraId="023549B5" w14:textId="77777777" w:rsidR="002F7509" w:rsidRPr="00011630" w:rsidRDefault="002F7509" w:rsidP="002651FB">
      <w:pPr>
        <w:pStyle w:val="FipraBullets"/>
        <w:numPr>
          <w:ilvl w:val="0"/>
          <w:numId w:val="0"/>
        </w:numPr>
      </w:pPr>
    </w:p>
    <w:p w14:paraId="467B2A29" w14:textId="1A6859D1" w:rsidR="00A42DFA" w:rsidRPr="00011630" w:rsidRDefault="002F7509" w:rsidP="002651FB">
      <w:pPr>
        <w:pStyle w:val="FipraBullets"/>
        <w:numPr>
          <w:ilvl w:val="0"/>
          <w:numId w:val="0"/>
        </w:numPr>
      </w:pPr>
      <w:r w:rsidRPr="00011630">
        <w:t>Also</w:t>
      </w:r>
      <w:r w:rsidR="008E2C20" w:rsidRPr="00011630">
        <w:t>, the impact of these uncertainties</w:t>
      </w:r>
      <w:r w:rsidR="00117BB3" w:rsidRPr="00011630">
        <w:t xml:space="preserve"> for a given dossier needs to</w:t>
      </w:r>
      <w:r w:rsidR="008E2C20" w:rsidRPr="00011630">
        <w:t xml:space="preserve"> be </w:t>
      </w:r>
      <w:r w:rsidR="00183CCD" w:rsidRPr="00011630">
        <w:t>addressed</w:t>
      </w:r>
      <w:r w:rsidR="00117BB3" w:rsidRPr="00011630">
        <w:t xml:space="preserve"> </w:t>
      </w:r>
      <w:r w:rsidRPr="00011630">
        <w:t xml:space="preserve">early </w:t>
      </w:r>
      <w:r w:rsidR="00117BB3" w:rsidRPr="00011630">
        <w:t xml:space="preserve">to </w:t>
      </w:r>
      <w:r w:rsidR="00183CCD" w:rsidRPr="00011630">
        <w:t>identify</w:t>
      </w:r>
      <w:r w:rsidRPr="00011630">
        <w:t xml:space="preserve"> the</w:t>
      </w:r>
      <w:r w:rsidR="007E41C5" w:rsidRPr="00011630">
        <w:t xml:space="preserve"> highest </w:t>
      </w:r>
      <w:r w:rsidR="007E41C5" w:rsidRPr="00011630">
        <w:rPr>
          <w:u w:val="single"/>
        </w:rPr>
        <w:t>priorities</w:t>
      </w:r>
      <w:r w:rsidR="007E41C5" w:rsidRPr="00011630">
        <w:t xml:space="preserve"> for evidence generation</w:t>
      </w:r>
      <w:r w:rsidR="008E2C20" w:rsidRPr="00011630">
        <w:t xml:space="preserve">. Indeed, </w:t>
      </w:r>
      <w:r w:rsidR="00D8333B" w:rsidRPr="00011630">
        <w:t xml:space="preserve">some of the uncertainties may have a much larger impact on the eventual value of the </w:t>
      </w:r>
      <w:r w:rsidR="0008781A" w:rsidRPr="00011630">
        <w:t>treatment</w:t>
      </w:r>
      <w:r w:rsidR="00D8333B" w:rsidRPr="00011630">
        <w:t xml:space="preserve"> than others. The collection of data </w:t>
      </w:r>
      <w:r w:rsidR="00117BB3" w:rsidRPr="00011630">
        <w:t xml:space="preserve">that are unlikely to help demonstrate the value of a technology </w:t>
      </w:r>
      <w:r w:rsidR="00D8333B" w:rsidRPr="00011630">
        <w:t>should be avoided and therefore a process of prioritisation is needed.</w:t>
      </w:r>
      <w:r w:rsidR="00A42DFA" w:rsidRPr="00011630">
        <w:t xml:space="preserve"> </w:t>
      </w:r>
    </w:p>
    <w:p w14:paraId="575220EC" w14:textId="77777777" w:rsidR="00F96296" w:rsidRPr="00011630" w:rsidRDefault="00F96296" w:rsidP="002651FB">
      <w:pPr>
        <w:pStyle w:val="FipraBullets"/>
        <w:numPr>
          <w:ilvl w:val="0"/>
          <w:numId w:val="0"/>
        </w:numPr>
      </w:pPr>
    </w:p>
    <w:p w14:paraId="749E09F9" w14:textId="22A13AC4" w:rsidR="00D8333B" w:rsidRPr="00011630" w:rsidRDefault="007E41C5" w:rsidP="002651FB">
      <w:pPr>
        <w:pStyle w:val="FipraBullets"/>
        <w:numPr>
          <w:ilvl w:val="0"/>
          <w:numId w:val="0"/>
        </w:numPr>
      </w:pPr>
      <w:r w:rsidRPr="00011630">
        <w:t xml:space="preserve">Multi-stakeholder input at this point is essential as </w:t>
      </w:r>
      <w:r w:rsidR="00980F49" w:rsidRPr="00011630">
        <w:t>stakeholders’</w:t>
      </w:r>
      <w:r w:rsidRPr="00011630">
        <w:t xml:space="preserve"> views may differ and coming to a common understanding of issues will help identify priorities.</w:t>
      </w:r>
      <w:r w:rsidR="00C525AE" w:rsidRPr="00011630">
        <w:t xml:space="preserve"> See the first milestone in the iterative dialogue process further on in the text. </w:t>
      </w:r>
    </w:p>
    <w:p w14:paraId="6CE3A54F" w14:textId="6DAC5D7D" w:rsidR="00D8333B" w:rsidRPr="00011630" w:rsidRDefault="008E2C20" w:rsidP="002651FB">
      <w:pPr>
        <w:pStyle w:val="FipraBullets"/>
        <w:numPr>
          <w:ilvl w:val="0"/>
          <w:numId w:val="0"/>
        </w:numPr>
      </w:pPr>
      <w:r w:rsidRPr="00011630">
        <w:t xml:space="preserve">We propose to add an impact score (e.g. +++, ++ or +) to distinguish between uncertainties that matter </w:t>
      </w:r>
      <w:r w:rsidR="00183CCD" w:rsidRPr="00011630">
        <w:t xml:space="preserve">most </w:t>
      </w:r>
      <w:r w:rsidR="003F5F4E" w:rsidRPr="00011630">
        <w:t>versus those that are much less relevant</w:t>
      </w:r>
      <w:r w:rsidRPr="00011630">
        <w:t xml:space="preserve"> </w:t>
      </w:r>
      <w:r w:rsidR="00467D81" w:rsidRPr="00011630">
        <w:t>in</w:t>
      </w:r>
      <w:r w:rsidRPr="00011630">
        <w:t xml:space="preserve"> the </w:t>
      </w:r>
      <w:r w:rsidR="00467D81" w:rsidRPr="00011630">
        <w:t xml:space="preserve">ultimate </w:t>
      </w:r>
      <w:r w:rsidRPr="00011630">
        <w:t>assessment of value and value for money. This score should be informed by</w:t>
      </w:r>
      <w:r w:rsidR="00467D81" w:rsidRPr="00011630">
        <w:t xml:space="preserve"> both quanti</w:t>
      </w:r>
      <w:r w:rsidR="003F5F4E" w:rsidRPr="00011630">
        <w:t xml:space="preserve">tative and qualitative </w:t>
      </w:r>
      <w:r w:rsidR="00320F41" w:rsidRPr="00011630">
        <w:t>inputs</w:t>
      </w:r>
      <w:r w:rsidR="003F5F4E" w:rsidRPr="00011630">
        <w:t>.</w:t>
      </w:r>
      <w:r w:rsidR="00320F41" w:rsidRPr="00011630">
        <w:t xml:space="preserve"> </w:t>
      </w:r>
      <w:r w:rsidR="00467D81" w:rsidRPr="00011630">
        <w:t xml:space="preserve">The </w:t>
      </w:r>
      <w:r w:rsidR="003F5F4E" w:rsidRPr="00011630">
        <w:t xml:space="preserve">quantitative </w:t>
      </w:r>
      <w:r w:rsidR="00320F41" w:rsidRPr="00011630">
        <w:t>inputs</w:t>
      </w:r>
      <w:r w:rsidR="00467D81" w:rsidRPr="00011630">
        <w:t xml:space="preserve"> refer to </w:t>
      </w:r>
      <w:r w:rsidR="00D8333B" w:rsidRPr="00011630">
        <w:t xml:space="preserve">‘what if scenarios’ </w:t>
      </w:r>
      <w:r w:rsidR="00E34032">
        <w:t xml:space="preserve">(sensitivity analyses) </w:t>
      </w:r>
      <w:r w:rsidR="006B6075" w:rsidRPr="00011630">
        <w:t xml:space="preserve">on key final endpoints such as survival and quality adjusted survival, cost-offsets etc… </w:t>
      </w:r>
      <w:r w:rsidR="00467D81" w:rsidRPr="00011630">
        <w:t xml:space="preserve">The qualitative </w:t>
      </w:r>
      <w:r w:rsidR="00320F41" w:rsidRPr="00011630">
        <w:t>inputs</w:t>
      </w:r>
      <w:r w:rsidR="00467D81" w:rsidRPr="00011630">
        <w:t xml:space="preserve"> involve </w:t>
      </w:r>
      <w:r w:rsidR="00320F41" w:rsidRPr="00011630">
        <w:t xml:space="preserve">determining </w:t>
      </w:r>
      <w:r w:rsidR="00467D81" w:rsidRPr="00011630">
        <w:t>the perspective</w:t>
      </w:r>
      <w:r w:rsidR="00320F41" w:rsidRPr="00011630">
        <w:t>s</w:t>
      </w:r>
      <w:r w:rsidR="00467D81" w:rsidRPr="00011630">
        <w:t xml:space="preserve"> of patients and clinicians regarding the importance of the uncertainty. </w:t>
      </w:r>
    </w:p>
    <w:p w14:paraId="0DD9B36C" w14:textId="2CC6EFC6" w:rsidR="00F96296" w:rsidRDefault="00F96296" w:rsidP="002651FB">
      <w:pPr>
        <w:pStyle w:val="FipraBullets"/>
        <w:numPr>
          <w:ilvl w:val="0"/>
          <w:numId w:val="0"/>
        </w:numPr>
      </w:pPr>
    </w:p>
    <w:p w14:paraId="66E94A28" w14:textId="77777777" w:rsidR="00DE29AF" w:rsidRPr="00011630" w:rsidRDefault="00DE29AF" w:rsidP="002651FB">
      <w:pPr>
        <w:pStyle w:val="FipraBullets"/>
        <w:numPr>
          <w:ilvl w:val="0"/>
          <w:numId w:val="0"/>
        </w:numPr>
      </w:pPr>
    </w:p>
    <w:p w14:paraId="71564B6E" w14:textId="415433B3" w:rsidR="00467D81" w:rsidRPr="00DE29AF" w:rsidRDefault="00467D81" w:rsidP="002651FB">
      <w:pPr>
        <w:pStyle w:val="Heading2"/>
        <w:ind w:left="0"/>
        <w:rPr>
          <w:color w:val="5ABEC1"/>
          <w:sz w:val="32"/>
        </w:rPr>
      </w:pPr>
      <w:r w:rsidRPr="00DE29AF">
        <w:rPr>
          <w:color w:val="5ABEC1"/>
          <w:sz w:val="32"/>
        </w:rPr>
        <w:lastRenderedPageBreak/>
        <w:t>3.</w:t>
      </w:r>
      <w:r w:rsidR="008621E0" w:rsidRPr="00DE29AF">
        <w:rPr>
          <w:color w:val="5ABEC1"/>
          <w:sz w:val="32"/>
        </w:rPr>
        <w:t>2</w:t>
      </w:r>
      <w:r w:rsidRPr="00DE29AF">
        <w:rPr>
          <w:color w:val="5ABEC1"/>
          <w:sz w:val="32"/>
        </w:rPr>
        <w:t xml:space="preserve">. </w:t>
      </w:r>
      <w:r w:rsidR="003E246B" w:rsidRPr="00DE29AF">
        <w:rPr>
          <w:color w:val="5ABEC1"/>
          <w:sz w:val="32"/>
        </w:rPr>
        <w:t>Potential sources to generate reliable evidence</w:t>
      </w:r>
    </w:p>
    <w:p w14:paraId="307E9CBE" w14:textId="31C62A94" w:rsidR="00467D81" w:rsidRPr="00011630" w:rsidRDefault="00D8333B" w:rsidP="002651FB">
      <w:pPr>
        <w:ind w:left="0"/>
      </w:pPr>
      <w:r w:rsidRPr="00011630">
        <w:t xml:space="preserve">Broadly there are </w:t>
      </w:r>
      <w:r w:rsidR="00B000F4">
        <w:t>eight</w:t>
      </w:r>
      <w:r w:rsidRPr="00011630">
        <w:t xml:space="preserve"> types of data sources/study designs that </w:t>
      </w:r>
      <w:r w:rsidR="00F96296" w:rsidRPr="00011630">
        <w:t>may be needed and can be used (if available)</w:t>
      </w:r>
      <w:r w:rsidRPr="00011630">
        <w:t xml:space="preserve"> to address </w:t>
      </w:r>
      <w:r w:rsidR="00A3312C" w:rsidRPr="00011630">
        <w:t xml:space="preserve">the </w:t>
      </w:r>
      <w:r w:rsidRPr="00011630">
        <w:t>uncertainties</w:t>
      </w:r>
      <w:r w:rsidR="00A3312C" w:rsidRPr="00011630">
        <w:t xml:space="preserve"> in a given dossier</w:t>
      </w:r>
      <w:r w:rsidR="00F96296" w:rsidRPr="00011630">
        <w:t xml:space="preserve"> and generate reliable evidence</w:t>
      </w:r>
      <w:r w:rsidRPr="00011630">
        <w:t xml:space="preserve">. </w:t>
      </w:r>
      <w:r w:rsidR="00467D81" w:rsidRPr="00011630">
        <w:t>The proposed classification is based on 2 criteria.</w:t>
      </w:r>
    </w:p>
    <w:p w14:paraId="39399062" w14:textId="0BB07DED" w:rsidR="00467D81" w:rsidRPr="00011630" w:rsidRDefault="00467D81" w:rsidP="002651FB">
      <w:pPr>
        <w:ind w:left="0"/>
      </w:pPr>
      <w:r w:rsidRPr="00011630">
        <w:t>A first distinction is made</w:t>
      </w:r>
      <w:r w:rsidR="008621E0" w:rsidRPr="00011630">
        <w:t xml:space="preserve"> between data </w:t>
      </w:r>
      <w:r w:rsidR="002463D6" w:rsidRPr="00011630">
        <w:t xml:space="preserve">sources </w:t>
      </w:r>
      <w:r w:rsidR="00EE55C5" w:rsidRPr="00011630">
        <w:t xml:space="preserve">and designs </w:t>
      </w:r>
      <w:r w:rsidR="002463D6" w:rsidRPr="00011630">
        <w:t xml:space="preserve">that can generate appropriate data </w:t>
      </w:r>
      <w:r w:rsidR="008621E0" w:rsidRPr="00011630">
        <w:t xml:space="preserve">about the </w:t>
      </w:r>
      <w:r w:rsidR="002463D6" w:rsidRPr="00011630">
        <w:t xml:space="preserve">size of the </w:t>
      </w:r>
      <w:r w:rsidR="008621E0" w:rsidRPr="00011630">
        <w:t>population, the disease</w:t>
      </w:r>
      <w:r w:rsidR="002463D6" w:rsidRPr="00011630">
        <w:t xml:space="preserve"> and</w:t>
      </w:r>
      <w:r w:rsidR="008621E0" w:rsidRPr="00011630">
        <w:t xml:space="preserve"> </w:t>
      </w:r>
      <w:r w:rsidRPr="00011630">
        <w:t xml:space="preserve">its current </w:t>
      </w:r>
      <w:r w:rsidR="002463D6" w:rsidRPr="00011630">
        <w:t>management</w:t>
      </w:r>
      <w:r w:rsidR="00B000F4">
        <w:t xml:space="preserve">, the new therapy or </w:t>
      </w:r>
      <w:r w:rsidR="008621E0" w:rsidRPr="00011630">
        <w:t>the health eco-system</w:t>
      </w:r>
      <w:r w:rsidRPr="00011630">
        <w:t xml:space="preserve">. </w:t>
      </w:r>
      <w:r w:rsidR="002463D6" w:rsidRPr="00011630">
        <w:t xml:space="preserve">Typically, </w:t>
      </w:r>
      <w:r w:rsidR="008621E0" w:rsidRPr="00011630">
        <w:t xml:space="preserve">prior to or while the </w:t>
      </w:r>
      <w:r w:rsidR="00BC6E54" w:rsidRPr="00011630">
        <w:t>evidence</w:t>
      </w:r>
      <w:r w:rsidR="008621E0" w:rsidRPr="00011630">
        <w:t xml:space="preserve"> generation about the new </w:t>
      </w:r>
      <w:r w:rsidR="0008781A" w:rsidRPr="00011630">
        <w:t>treatment</w:t>
      </w:r>
      <w:r w:rsidR="008621E0" w:rsidRPr="00011630">
        <w:t xml:space="preserve"> is undertaken or conducted, data sources </w:t>
      </w:r>
      <w:r w:rsidR="00EE55C5" w:rsidRPr="00011630">
        <w:t xml:space="preserve">and designs </w:t>
      </w:r>
      <w:r w:rsidR="008621E0" w:rsidRPr="00011630">
        <w:t xml:space="preserve">can be </w:t>
      </w:r>
      <w:r w:rsidR="00EE55C5" w:rsidRPr="00011630">
        <w:t>considered</w:t>
      </w:r>
      <w:r w:rsidR="008621E0" w:rsidRPr="00011630">
        <w:t xml:space="preserve"> to </w:t>
      </w:r>
      <w:r w:rsidR="00C525AE" w:rsidRPr="00011630">
        <w:t>reduce</w:t>
      </w:r>
      <w:r w:rsidR="008621E0" w:rsidRPr="00011630">
        <w:t xml:space="preserve"> the evidence gaps regarding population, disease, current </w:t>
      </w:r>
      <w:r w:rsidR="00EE55C5" w:rsidRPr="00011630">
        <w:t>management</w:t>
      </w:r>
      <w:r w:rsidR="008621E0" w:rsidRPr="00011630">
        <w:t xml:space="preserve"> and the </w:t>
      </w:r>
      <w:r w:rsidR="00EE55C5" w:rsidRPr="00011630">
        <w:t xml:space="preserve">health </w:t>
      </w:r>
      <w:r w:rsidR="008621E0" w:rsidRPr="00011630">
        <w:t xml:space="preserve">eco-system. </w:t>
      </w:r>
    </w:p>
    <w:p w14:paraId="7064D46B" w14:textId="38C7C9E9" w:rsidR="00467D81" w:rsidRPr="00011630" w:rsidRDefault="00467D81" w:rsidP="002651FB">
      <w:pPr>
        <w:ind w:left="0"/>
      </w:pPr>
      <w:r w:rsidRPr="00C065CD">
        <w:t xml:space="preserve">A second distinction is about whether the data are collected in experimental interventional designs, such as </w:t>
      </w:r>
      <w:r w:rsidR="00A3312C" w:rsidRPr="00C065CD">
        <w:t xml:space="preserve">randomised </w:t>
      </w:r>
      <w:r w:rsidRPr="00C065CD">
        <w:t xml:space="preserve">comparative trials, </w:t>
      </w:r>
      <w:r w:rsidR="00230600" w:rsidRPr="00C065CD">
        <w:t xml:space="preserve">including their possible </w:t>
      </w:r>
      <w:r w:rsidR="00063E75" w:rsidRPr="00C065CD">
        <w:t>extension</w:t>
      </w:r>
      <w:r w:rsidR="00230600" w:rsidRPr="00C065CD">
        <w:t xml:space="preserve">, </w:t>
      </w:r>
      <w:r w:rsidRPr="00C065CD">
        <w:t>or rather based on observation of routine practice in a non-experimental setting</w:t>
      </w:r>
      <w:r w:rsidR="008621E0" w:rsidRPr="00C065CD">
        <w:t>; i.e. real</w:t>
      </w:r>
      <w:r w:rsidR="00843743" w:rsidRPr="00C065CD">
        <w:t>-</w:t>
      </w:r>
      <w:r w:rsidR="008621E0" w:rsidRPr="00C065CD">
        <w:t xml:space="preserve">world data that – if well managed, analysed and reported – will lead to </w:t>
      </w:r>
      <w:r w:rsidR="00843743" w:rsidRPr="00C065CD">
        <w:t>real-world</w:t>
      </w:r>
      <w:r w:rsidR="008621E0" w:rsidRPr="00C065CD">
        <w:t xml:space="preserve"> evidence</w:t>
      </w:r>
      <w:r w:rsidRPr="00C065CD">
        <w:t>.</w:t>
      </w:r>
      <w:r w:rsidRPr="00011630">
        <w:t xml:space="preserve"> </w:t>
      </w:r>
    </w:p>
    <w:p w14:paraId="48AFE7C3" w14:textId="3CDC9F66" w:rsidR="003F13ED" w:rsidRDefault="003F13ED" w:rsidP="002651FB">
      <w:pPr>
        <w:ind w:left="0"/>
      </w:pPr>
      <w:r w:rsidRPr="00011630">
        <w:t>Combining the 2 criteria th</w:t>
      </w:r>
      <w:r w:rsidR="00A3312C" w:rsidRPr="00011630">
        <w:t>u</w:t>
      </w:r>
      <w:r w:rsidRPr="00011630">
        <w:t xml:space="preserve">s leads to </w:t>
      </w:r>
      <w:r w:rsidR="00450662" w:rsidRPr="00011630">
        <w:t>different</w:t>
      </w:r>
      <w:r w:rsidRPr="00011630">
        <w:t xml:space="preserve"> types of</w:t>
      </w:r>
      <w:r w:rsidR="008225F7" w:rsidRPr="00011630">
        <w:t xml:space="preserve"> data sources</w:t>
      </w:r>
      <w:r w:rsidR="00EE55C5" w:rsidRPr="00011630">
        <w:t>/designs</w:t>
      </w:r>
      <w:r w:rsidR="008225F7" w:rsidRPr="00011630">
        <w:t xml:space="preserve">, as indicated in </w:t>
      </w:r>
      <w:r w:rsidR="00C81F5D" w:rsidRPr="00011630">
        <w:t>Table 1.</w:t>
      </w:r>
      <w:r w:rsidRPr="00011630">
        <w:t xml:space="preserve"> </w:t>
      </w:r>
      <w:r w:rsidR="00AE20B7">
        <w:t>Note that some parallel can be drawn with the classic PICO approach in evidence based medicine (Patients; Intervention; Comparator; Outcomes).</w:t>
      </w:r>
    </w:p>
    <w:p w14:paraId="26DAA87F" w14:textId="616D066F" w:rsidR="00A235AD" w:rsidRPr="00011630" w:rsidRDefault="00A235AD" w:rsidP="002651FB">
      <w:pPr>
        <w:ind w:left="0"/>
      </w:pPr>
      <w:r w:rsidRPr="00011630">
        <w:t xml:space="preserve">As explained above, </w:t>
      </w:r>
      <w:r w:rsidR="00843743">
        <w:t>real-world</w:t>
      </w:r>
      <w:r w:rsidRPr="00011630">
        <w:t xml:space="preserve"> data about the population, disease, current treatment(s), and health eco-system can and should be collected as much as possible during the development phase of the new treatment. At this stage also, experimental data on the current management may possibly exist and be used. </w:t>
      </w:r>
    </w:p>
    <w:p w14:paraId="2D7ECC9B" w14:textId="2E9CC789" w:rsidR="00A235AD" w:rsidRPr="00011630" w:rsidRDefault="00843743" w:rsidP="002651FB">
      <w:pPr>
        <w:ind w:left="0"/>
      </w:pPr>
      <w:r>
        <w:t>Real-world</w:t>
      </w:r>
      <w:r w:rsidR="00A235AD" w:rsidRPr="00011630">
        <w:t xml:space="preserve"> evidence about the new treatment can obviously only be collected after-market authorisation, with the exception of compassionate use or early access programmes. </w:t>
      </w:r>
    </w:p>
    <w:p w14:paraId="76DBEE48" w14:textId="072D9A60" w:rsidR="00A235AD" w:rsidRPr="00011630" w:rsidRDefault="00A235AD" w:rsidP="002651FB">
      <w:pPr>
        <w:ind w:left="0"/>
      </w:pPr>
      <w:r>
        <w:t>Each of these</w:t>
      </w:r>
      <w:r w:rsidRPr="00011630">
        <w:t xml:space="preserve"> different data sources/designs </w:t>
      </w:r>
      <w:r>
        <w:t xml:space="preserve">have </w:t>
      </w:r>
      <w:r w:rsidR="00843743">
        <w:t xml:space="preserve">inherent </w:t>
      </w:r>
      <w:r>
        <w:t>pros and cons</w:t>
      </w:r>
      <w:r w:rsidRPr="00011630">
        <w:t xml:space="preserve">. The idea is that for each type of important evidence gap, the corresponding data source and design to reduce that gap is proposed, and that the pros and cons of that data source/design for that specific evidence gap </w:t>
      </w:r>
      <w:r>
        <w:t>are</w:t>
      </w:r>
      <w:r w:rsidRPr="00011630">
        <w:t xml:space="preserve"> discussed. </w:t>
      </w:r>
      <w:r>
        <w:t xml:space="preserve">Ideally, the most </w:t>
      </w:r>
      <w:r w:rsidRPr="00011630">
        <w:t>adequate data source/design</w:t>
      </w:r>
      <w:r>
        <w:t xml:space="preserve"> meets the evidence gap</w:t>
      </w:r>
      <w:r w:rsidRPr="00011630">
        <w:t>.</w:t>
      </w:r>
    </w:p>
    <w:p w14:paraId="26DF516E" w14:textId="22F20E34" w:rsidR="00A235AD" w:rsidRDefault="00A235AD" w:rsidP="002651FB">
      <w:pPr>
        <w:spacing w:after="0" w:line="240" w:lineRule="auto"/>
        <w:ind w:left="0"/>
        <w:jc w:val="left"/>
        <w:rPr>
          <w:b/>
          <w:sz w:val="22"/>
        </w:rPr>
      </w:pPr>
    </w:p>
    <w:p w14:paraId="0D681F36" w14:textId="77777777" w:rsidR="00D300DD" w:rsidRDefault="00D300DD">
      <w:pPr>
        <w:spacing w:after="0" w:line="240" w:lineRule="auto"/>
        <w:ind w:left="0"/>
        <w:jc w:val="left"/>
        <w:rPr>
          <w:b/>
          <w:sz w:val="22"/>
        </w:rPr>
      </w:pPr>
      <w:r>
        <w:rPr>
          <w:b/>
          <w:sz w:val="22"/>
        </w:rPr>
        <w:br w:type="page"/>
      </w:r>
    </w:p>
    <w:p w14:paraId="418A0728" w14:textId="68C94BA6" w:rsidR="008225F7" w:rsidRPr="00011630" w:rsidRDefault="00C81F5D" w:rsidP="002651FB">
      <w:pPr>
        <w:ind w:left="0"/>
        <w:rPr>
          <w:b/>
          <w:sz w:val="22"/>
        </w:rPr>
      </w:pPr>
      <w:r w:rsidRPr="00011630">
        <w:rPr>
          <w:b/>
          <w:sz w:val="22"/>
        </w:rPr>
        <w:lastRenderedPageBreak/>
        <w:t xml:space="preserve">Table 1: </w:t>
      </w:r>
      <w:r w:rsidR="00450662" w:rsidRPr="00011630">
        <w:rPr>
          <w:b/>
          <w:sz w:val="22"/>
        </w:rPr>
        <w:t>T</w:t>
      </w:r>
      <w:r w:rsidR="008225F7" w:rsidRPr="00011630">
        <w:rPr>
          <w:b/>
          <w:sz w:val="22"/>
        </w:rPr>
        <w:t>ypes of data sources</w:t>
      </w:r>
      <w:r w:rsidRPr="00011630">
        <w:rPr>
          <w:b/>
          <w:sz w:val="22"/>
        </w:rPr>
        <w:t>/designs</w:t>
      </w:r>
      <w:r w:rsidR="008225F7" w:rsidRPr="00011630">
        <w:rPr>
          <w:b/>
          <w:sz w:val="22"/>
        </w:rPr>
        <w:t xml:space="preserve"> available to anticipate, avoid or solve uncertainties</w:t>
      </w:r>
    </w:p>
    <w:tbl>
      <w:tblPr>
        <w:tblStyle w:val="TableGrid"/>
        <w:tblW w:w="0" w:type="auto"/>
        <w:tblInd w:w="-5" w:type="dxa"/>
        <w:tblBorders>
          <w:top w:val="single" w:sz="8" w:space="0" w:color="61C2D0"/>
          <w:left w:val="single" w:sz="8" w:space="0" w:color="61C2D0"/>
          <w:bottom w:val="single" w:sz="8" w:space="0" w:color="61C2D0"/>
          <w:right w:val="single" w:sz="8" w:space="0" w:color="61C2D0"/>
          <w:insideH w:val="single" w:sz="8" w:space="0" w:color="61C2D0"/>
          <w:insideV w:val="single" w:sz="8" w:space="0" w:color="61C2D0"/>
        </w:tblBorders>
        <w:tblLook w:val="04A0" w:firstRow="1" w:lastRow="0" w:firstColumn="1" w:lastColumn="0" w:noHBand="0" w:noVBand="1"/>
      </w:tblPr>
      <w:tblGrid>
        <w:gridCol w:w="2977"/>
        <w:gridCol w:w="3686"/>
        <w:gridCol w:w="2970"/>
      </w:tblGrid>
      <w:tr w:rsidR="00721CF3" w:rsidRPr="00011630" w14:paraId="10B1415E" w14:textId="77777777" w:rsidTr="00721CF3">
        <w:tc>
          <w:tcPr>
            <w:tcW w:w="2977" w:type="dxa"/>
            <w:tcBorders>
              <w:top w:val="nil"/>
              <w:left w:val="nil"/>
              <w:bottom w:val="single" w:sz="8" w:space="0" w:color="61C2D0"/>
              <w:right w:val="single" w:sz="8" w:space="0" w:color="61C2D0"/>
            </w:tcBorders>
          </w:tcPr>
          <w:p w14:paraId="30E3436E" w14:textId="5D60A3C8" w:rsidR="008621E0" w:rsidRPr="00011630" w:rsidRDefault="008621E0" w:rsidP="002651FB">
            <w:pPr>
              <w:ind w:left="0"/>
              <w:rPr>
                <w:sz w:val="22"/>
                <w:szCs w:val="22"/>
              </w:rPr>
            </w:pPr>
            <w:r w:rsidRPr="00011630">
              <w:rPr>
                <w:rFonts w:cs="Arial"/>
                <w:b/>
                <w:bCs/>
                <w:color w:val="FFFFFF" w:themeColor="light1"/>
                <w:kern w:val="24"/>
                <w:sz w:val="22"/>
                <w:szCs w:val="22"/>
              </w:rPr>
              <w:t> </w:t>
            </w:r>
          </w:p>
        </w:tc>
        <w:tc>
          <w:tcPr>
            <w:tcW w:w="3686" w:type="dxa"/>
            <w:tcBorders>
              <w:left w:val="single" w:sz="8" w:space="0" w:color="61C2D0"/>
            </w:tcBorders>
            <w:shd w:val="clear" w:color="auto" w:fill="DFF3F6"/>
          </w:tcPr>
          <w:p w14:paraId="199EB08D" w14:textId="562101B2" w:rsidR="008621E0" w:rsidRPr="00C065CD" w:rsidRDefault="00D300DD" w:rsidP="00D300DD">
            <w:pPr>
              <w:ind w:left="0"/>
              <w:jc w:val="center"/>
              <w:rPr>
                <w:sz w:val="22"/>
                <w:szCs w:val="22"/>
              </w:rPr>
            </w:pPr>
            <w:r w:rsidRPr="00C065CD">
              <w:rPr>
                <w:rFonts w:cs="Arial"/>
                <w:b/>
                <w:bCs/>
                <w:color w:val="61C2D0"/>
                <w:kern w:val="24"/>
                <w:sz w:val="22"/>
                <w:szCs w:val="22"/>
              </w:rPr>
              <w:t>Experimental</w:t>
            </w:r>
          </w:p>
        </w:tc>
        <w:tc>
          <w:tcPr>
            <w:tcW w:w="2970" w:type="dxa"/>
            <w:shd w:val="clear" w:color="auto" w:fill="DFF3F6"/>
          </w:tcPr>
          <w:p w14:paraId="77E7BFAD" w14:textId="1A8D4202" w:rsidR="008621E0" w:rsidRPr="00C065CD" w:rsidRDefault="00D300DD" w:rsidP="00D300DD">
            <w:pPr>
              <w:ind w:left="0"/>
              <w:jc w:val="center"/>
              <w:rPr>
                <w:color w:val="FFFFFF" w:themeColor="background1"/>
                <w:sz w:val="22"/>
                <w:szCs w:val="22"/>
              </w:rPr>
            </w:pPr>
            <w:r w:rsidRPr="00C065CD">
              <w:rPr>
                <w:rFonts w:cs="Arial"/>
                <w:b/>
                <w:bCs/>
                <w:color w:val="61C2D0"/>
                <w:kern w:val="24"/>
                <w:sz w:val="22"/>
                <w:szCs w:val="22"/>
              </w:rPr>
              <w:t>Non-experimental</w:t>
            </w:r>
          </w:p>
        </w:tc>
      </w:tr>
      <w:tr w:rsidR="00721CF3" w:rsidRPr="00011630" w14:paraId="48990FEF" w14:textId="77777777" w:rsidTr="00721CF3">
        <w:tc>
          <w:tcPr>
            <w:tcW w:w="2977" w:type="dxa"/>
            <w:tcBorders>
              <w:top w:val="single" w:sz="8" w:space="0" w:color="61C2D0"/>
            </w:tcBorders>
            <w:shd w:val="clear" w:color="auto" w:fill="DFF3F6"/>
          </w:tcPr>
          <w:p w14:paraId="7B256DD0" w14:textId="74359E27" w:rsidR="008621E0" w:rsidRPr="00011630" w:rsidRDefault="00450662" w:rsidP="002651FB">
            <w:pPr>
              <w:ind w:left="0"/>
              <w:jc w:val="left"/>
              <w:rPr>
                <w:rFonts w:eastAsiaTheme="minorEastAsia" w:cs="Arial"/>
                <w:b/>
                <w:bCs/>
                <w:color w:val="000000" w:themeColor="dark1"/>
                <w:kern w:val="24"/>
                <w:sz w:val="22"/>
                <w:szCs w:val="22"/>
              </w:rPr>
            </w:pPr>
            <w:r w:rsidRPr="004660D1">
              <w:rPr>
                <w:rFonts w:eastAsiaTheme="minorEastAsia" w:cs="Arial"/>
                <w:b/>
                <w:bCs/>
                <w:color w:val="61C2D0"/>
                <w:kern w:val="24"/>
                <w:sz w:val="22"/>
                <w:szCs w:val="22"/>
              </w:rPr>
              <w:t>Population size and characteristics</w:t>
            </w:r>
            <w:r w:rsidRPr="00011630">
              <w:rPr>
                <w:rFonts w:eastAsiaTheme="minorEastAsia" w:cs="Arial"/>
                <w:b/>
                <w:bCs/>
                <w:color w:val="000000" w:themeColor="dark1"/>
                <w:kern w:val="24"/>
                <w:sz w:val="22"/>
                <w:szCs w:val="22"/>
              </w:rPr>
              <w:br/>
            </w:r>
          </w:p>
        </w:tc>
        <w:tc>
          <w:tcPr>
            <w:tcW w:w="3686" w:type="dxa"/>
          </w:tcPr>
          <w:p w14:paraId="6DFAC7AE" w14:textId="6C0B7CBA" w:rsidR="008621E0" w:rsidRPr="004660D1" w:rsidRDefault="008621E0" w:rsidP="00050016">
            <w:pPr>
              <w:pStyle w:val="ListParagraph"/>
              <w:numPr>
                <w:ilvl w:val="0"/>
                <w:numId w:val="9"/>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previously published comparative trials</w:t>
            </w:r>
            <w:r w:rsidR="00B000F4" w:rsidRPr="004660D1">
              <w:rPr>
                <w:rFonts w:ascii="Arial" w:hAnsi="Arial" w:cs="Arial"/>
                <w:color w:val="000000" w:themeColor="dark1"/>
                <w:kern w:val="24"/>
                <w:sz w:val="18"/>
                <w:szCs w:val="18"/>
                <w:lang w:val="en-GB"/>
              </w:rPr>
              <w:t xml:space="preserve"> (with focus on baseline characteristics)</w:t>
            </w:r>
          </w:p>
          <w:p w14:paraId="65F2CD61" w14:textId="0CD124C4" w:rsidR="00C81F5D" w:rsidRPr="004660D1" w:rsidRDefault="00C81F5D" w:rsidP="00050016">
            <w:pPr>
              <w:pStyle w:val="ListParagraph"/>
              <w:numPr>
                <w:ilvl w:val="0"/>
                <w:numId w:val="9"/>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w:t>
            </w:r>
          </w:p>
        </w:tc>
        <w:tc>
          <w:tcPr>
            <w:tcW w:w="2970" w:type="dxa"/>
          </w:tcPr>
          <w:p w14:paraId="63F197C9" w14:textId="77777777" w:rsidR="008621E0" w:rsidRPr="004660D1" w:rsidRDefault="008621E0" w:rsidP="00050016">
            <w:pPr>
              <w:pStyle w:val="ListParagraph"/>
              <w:numPr>
                <w:ilvl w:val="0"/>
                <w:numId w:val="13"/>
              </w:numPr>
              <w:spacing w:after="0" w:line="240" w:lineRule="auto"/>
              <w:ind w:left="-224" w:hanging="284"/>
              <w:contextualSpacing/>
              <w:jc w:val="left"/>
              <w:divId w:val="1780831950"/>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disease and/or population registries,</w:t>
            </w:r>
          </w:p>
          <w:p w14:paraId="4658EB29" w14:textId="77777777" w:rsidR="008621E0" w:rsidRPr="004660D1" w:rsidRDefault="008621E0" w:rsidP="00050016">
            <w:pPr>
              <w:pStyle w:val="ListParagraph"/>
              <w:numPr>
                <w:ilvl w:val="0"/>
                <w:numId w:val="13"/>
              </w:numPr>
              <w:spacing w:after="0" w:line="240" w:lineRule="auto"/>
              <w:ind w:left="-224" w:hanging="284"/>
              <w:contextualSpacing/>
              <w:jc w:val="left"/>
              <w:divId w:val="931427206"/>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claims databases,</w:t>
            </w:r>
          </w:p>
          <w:p w14:paraId="5C42685F" w14:textId="77777777" w:rsidR="008621E0" w:rsidRPr="004660D1" w:rsidRDefault="008621E0" w:rsidP="00050016">
            <w:pPr>
              <w:pStyle w:val="ListParagraph"/>
              <w:numPr>
                <w:ilvl w:val="0"/>
                <w:numId w:val="13"/>
              </w:numPr>
              <w:spacing w:after="0" w:line="240" w:lineRule="auto"/>
              <w:ind w:left="-224" w:hanging="284"/>
              <w:contextualSpacing/>
              <w:jc w:val="left"/>
              <w:divId w:val="548539985"/>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electronic patient records,</w:t>
            </w:r>
          </w:p>
          <w:p w14:paraId="7AAAF49A" w14:textId="77777777" w:rsidR="008621E0" w:rsidRPr="004660D1" w:rsidRDefault="008621E0" w:rsidP="00050016">
            <w:pPr>
              <w:pStyle w:val="ListParagraph"/>
              <w:numPr>
                <w:ilvl w:val="0"/>
                <w:numId w:val="13"/>
              </w:numPr>
              <w:spacing w:after="0" w:line="240" w:lineRule="auto"/>
              <w:ind w:left="-224" w:hanging="284"/>
              <w:contextualSpacing/>
              <w:jc w:val="left"/>
              <w:divId w:val="306977805"/>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biobanks,</w:t>
            </w:r>
          </w:p>
          <w:p w14:paraId="37D6D673" w14:textId="31106C03" w:rsidR="00C81F5D" w:rsidRPr="004660D1" w:rsidRDefault="008621E0" w:rsidP="00050016">
            <w:pPr>
              <w:pStyle w:val="ListParagraph"/>
              <w:numPr>
                <w:ilvl w:val="0"/>
                <w:numId w:val="13"/>
              </w:numPr>
              <w:tabs>
                <w:tab w:val="num" w:pos="286"/>
              </w:tabs>
              <w:spacing w:after="0" w:line="240" w:lineRule="auto"/>
              <w:ind w:left="-224" w:hanging="284"/>
              <w:contextualSpacing/>
              <w:jc w:val="left"/>
              <w:divId w:val="946232265"/>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 xml:space="preserve">surveys, </w:t>
            </w:r>
          </w:p>
          <w:p w14:paraId="5E0C8003" w14:textId="54C9D7E4" w:rsidR="003E246B" w:rsidRPr="004660D1" w:rsidRDefault="003E246B" w:rsidP="00050016">
            <w:pPr>
              <w:pStyle w:val="ListParagraph"/>
              <w:numPr>
                <w:ilvl w:val="0"/>
                <w:numId w:val="13"/>
              </w:numPr>
              <w:tabs>
                <w:tab w:val="num" w:pos="286"/>
              </w:tabs>
              <w:spacing w:after="0" w:line="240" w:lineRule="auto"/>
              <w:ind w:left="-224" w:hanging="284"/>
              <w:contextualSpacing/>
              <w:jc w:val="left"/>
              <w:divId w:val="946232265"/>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patient interviews</w:t>
            </w:r>
          </w:p>
          <w:p w14:paraId="2EBDF627" w14:textId="72A7A241" w:rsidR="00C81F5D" w:rsidRPr="004660D1" w:rsidRDefault="00C81F5D" w:rsidP="00050016">
            <w:pPr>
              <w:pStyle w:val="ListParagraph"/>
              <w:numPr>
                <w:ilvl w:val="0"/>
                <w:numId w:val="13"/>
              </w:numPr>
              <w:tabs>
                <w:tab w:val="num" w:pos="286"/>
              </w:tabs>
              <w:spacing w:after="0" w:line="240" w:lineRule="auto"/>
              <w:ind w:left="-224" w:hanging="284"/>
              <w:contextualSpacing/>
              <w:jc w:val="left"/>
              <w:divId w:val="946232265"/>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w:t>
            </w:r>
          </w:p>
        </w:tc>
      </w:tr>
      <w:tr w:rsidR="00721CF3" w:rsidRPr="00011630" w14:paraId="7332121D" w14:textId="77777777" w:rsidTr="00721CF3">
        <w:tc>
          <w:tcPr>
            <w:tcW w:w="2977" w:type="dxa"/>
            <w:shd w:val="clear" w:color="auto" w:fill="DFF3F6"/>
          </w:tcPr>
          <w:p w14:paraId="2E3F4DE3" w14:textId="243A8CC8" w:rsidR="00B000F4" w:rsidRPr="00011630" w:rsidRDefault="00B000F4" w:rsidP="002651FB">
            <w:pPr>
              <w:ind w:left="0"/>
              <w:jc w:val="left"/>
              <w:rPr>
                <w:rFonts w:eastAsiaTheme="minorEastAsia" w:cs="Arial"/>
                <w:b/>
                <w:bCs/>
                <w:color w:val="000000" w:themeColor="dark1"/>
                <w:kern w:val="24"/>
                <w:sz w:val="22"/>
                <w:szCs w:val="22"/>
              </w:rPr>
            </w:pPr>
            <w:r w:rsidRPr="004660D1">
              <w:rPr>
                <w:rFonts w:eastAsiaTheme="minorEastAsia" w:cs="Arial"/>
                <w:b/>
                <w:bCs/>
                <w:color w:val="61C2D0"/>
                <w:kern w:val="24"/>
                <w:sz w:val="22"/>
                <w:szCs w:val="22"/>
              </w:rPr>
              <w:t>Disease &amp; current management</w:t>
            </w:r>
          </w:p>
        </w:tc>
        <w:tc>
          <w:tcPr>
            <w:tcW w:w="3686" w:type="dxa"/>
          </w:tcPr>
          <w:p w14:paraId="2165AE7C" w14:textId="77777777" w:rsidR="00AE20B7" w:rsidRPr="004660D1" w:rsidRDefault="00AE20B7" w:rsidP="00050016">
            <w:pPr>
              <w:pStyle w:val="ListParagraph"/>
              <w:numPr>
                <w:ilvl w:val="0"/>
                <w:numId w:val="10"/>
              </w:numPr>
              <w:spacing w:after="0" w:line="240" w:lineRule="auto"/>
              <w:ind w:left="310" w:hanging="289"/>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previously published comparative trials</w:t>
            </w:r>
          </w:p>
          <w:p w14:paraId="43766193" w14:textId="61E821CD" w:rsidR="00AE20B7" w:rsidRPr="004660D1" w:rsidRDefault="00AE20B7" w:rsidP="00050016">
            <w:pPr>
              <w:pStyle w:val="ListParagraph"/>
              <w:numPr>
                <w:ilvl w:val="0"/>
                <w:numId w:val="10"/>
              </w:numPr>
              <w:spacing w:after="0" w:line="240" w:lineRule="auto"/>
              <w:ind w:left="310" w:hanging="289"/>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clinical guidelines</w:t>
            </w:r>
          </w:p>
          <w:p w14:paraId="4D9BBB35" w14:textId="00FCE36C" w:rsidR="00B000F4" w:rsidRPr="004660D1" w:rsidRDefault="00B000F4" w:rsidP="00050016">
            <w:pPr>
              <w:pStyle w:val="ListParagraph"/>
              <w:numPr>
                <w:ilvl w:val="0"/>
                <w:numId w:val="10"/>
              </w:numPr>
              <w:spacing w:after="0" w:line="240" w:lineRule="auto"/>
              <w:ind w:left="310" w:hanging="289"/>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w:t>
            </w:r>
          </w:p>
        </w:tc>
        <w:tc>
          <w:tcPr>
            <w:tcW w:w="2970" w:type="dxa"/>
          </w:tcPr>
          <w:p w14:paraId="6A69AD81" w14:textId="317412BE" w:rsidR="00B000F4" w:rsidRPr="004660D1" w:rsidRDefault="00B000F4" w:rsidP="00050016">
            <w:pPr>
              <w:pStyle w:val="ListParagraph"/>
              <w:numPr>
                <w:ilvl w:val="0"/>
                <w:numId w:val="13"/>
              </w:numPr>
              <w:spacing w:after="0" w:line="240" w:lineRule="auto"/>
              <w:ind w:left="329" w:hanging="284"/>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Idem as above</w:t>
            </w:r>
          </w:p>
        </w:tc>
      </w:tr>
      <w:tr w:rsidR="00721CF3" w:rsidRPr="00011630" w14:paraId="0431C5E6" w14:textId="77777777" w:rsidTr="00721CF3">
        <w:tc>
          <w:tcPr>
            <w:tcW w:w="2977" w:type="dxa"/>
            <w:shd w:val="clear" w:color="auto" w:fill="DFF3F6"/>
          </w:tcPr>
          <w:p w14:paraId="40B746C1" w14:textId="2C2C8EC8" w:rsidR="00B000F4" w:rsidRPr="00011630" w:rsidRDefault="00B000F4" w:rsidP="002651FB">
            <w:pPr>
              <w:ind w:left="0"/>
              <w:jc w:val="left"/>
              <w:rPr>
                <w:rFonts w:eastAsiaTheme="minorEastAsia" w:cs="Arial"/>
                <w:b/>
                <w:bCs/>
                <w:color w:val="000000" w:themeColor="dark1"/>
                <w:kern w:val="24"/>
                <w:sz w:val="22"/>
                <w:szCs w:val="22"/>
              </w:rPr>
            </w:pPr>
            <w:r w:rsidRPr="004660D1">
              <w:rPr>
                <w:rFonts w:cs="Arial"/>
                <w:b/>
                <w:bCs/>
                <w:color w:val="61C2D0"/>
                <w:kern w:val="24"/>
                <w:sz w:val="22"/>
                <w:szCs w:val="22"/>
              </w:rPr>
              <w:t>New</w:t>
            </w:r>
            <w:r w:rsidRPr="004660D1">
              <w:rPr>
                <w:rFonts w:cs="Arial"/>
                <w:b/>
                <w:bCs/>
                <w:color w:val="61C2D0"/>
                <w:kern w:val="24"/>
                <w:sz w:val="22"/>
                <w:szCs w:val="22"/>
              </w:rPr>
              <w:br/>
              <w:t>treatment</w:t>
            </w:r>
          </w:p>
        </w:tc>
        <w:tc>
          <w:tcPr>
            <w:tcW w:w="3686" w:type="dxa"/>
          </w:tcPr>
          <w:p w14:paraId="446E5B4F" w14:textId="77777777" w:rsidR="00B000F4" w:rsidRPr="004660D1" w:rsidRDefault="00B000F4" w:rsidP="00050016">
            <w:pPr>
              <w:pStyle w:val="ListParagraph"/>
              <w:numPr>
                <w:ilvl w:val="1"/>
                <w:numId w:val="11"/>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RCT vs standard of care</w:t>
            </w:r>
          </w:p>
          <w:p w14:paraId="58B1B892" w14:textId="77777777" w:rsidR="00B000F4" w:rsidRPr="004660D1" w:rsidRDefault="00B000F4" w:rsidP="00050016">
            <w:pPr>
              <w:pStyle w:val="ListParagraph"/>
              <w:numPr>
                <w:ilvl w:val="1"/>
                <w:numId w:val="11"/>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pragmatic trials</w:t>
            </w:r>
          </w:p>
          <w:p w14:paraId="3587174E" w14:textId="196DAFD4" w:rsidR="00AE20B7" w:rsidRPr="004660D1" w:rsidRDefault="00B000F4" w:rsidP="00050016">
            <w:pPr>
              <w:pStyle w:val="ListParagraph"/>
              <w:numPr>
                <w:ilvl w:val="1"/>
                <w:numId w:val="11"/>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case series compared with historical controls</w:t>
            </w:r>
          </w:p>
          <w:p w14:paraId="1FFF0F64" w14:textId="162C9D56" w:rsidR="00AE20B7" w:rsidRPr="004660D1" w:rsidRDefault="00AE20B7" w:rsidP="00050016">
            <w:pPr>
              <w:pStyle w:val="ListParagraph"/>
              <w:numPr>
                <w:ilvl w:val="1"/>
                <w:numId w:val="11"/>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nested randomisation study in a disease or population registry,</w:t>
            </w:r>
          </w:p>
          <w:p w14:paraId="3B94288F" w14:textId="77777777" w:rsidR="00AE20B7" w:rsidRPr="004660D1" w:rsidRDefault="00AE20B7" w:rsidP="00050016">
            <w:pPr>
              <w:pStyle w:val="ListParagraph"/>
              <w:numPr>
                <w:ilvl w:val="1"/>
                <w:numId w:val="11"/>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network meta-analysis for indirect treatment comparison</w:t>
            </w:r>
          </w:p>
          <w:p w14:paraId="52223D3E" w14:textId="134EA671" w:rsidR="00B000F4" w:rsidRPr="004660D1" w:rsidRDefault="00B000F4" w:rsidP="00050016">
            <w:pPr>
              <w:pStyle w:val="ListParagraph"/>
              <w:numPr>
                <w:ilvl w:val="1"/>
                <w:numId w:val="11"/>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w:t>
            </w:r>
          </w:p>
        </w:tc>
        <w:tc>
          <w:tcPr>
            <w:tcW w:w="2970" w:type="dxa"/>
          </w:tcPr>
          <w:p w14:paraId="06945948" w14:textId="4B53F70B" w:rsidR="00B000F4" w:rsidRPr="004660D1" w:rsidRDefault="00B000F4" w:rsidP="00050016">
            <w:pPr>
              <w:pStyle w:val="ListParagraph"/>
              <w:numPr>
                <w:ilvl w:val="0"/>
                <w:numId w:val="13"/>
              </w:numPr>
              <w:spacing w:after="0" w:line="240" w:lineRule="auto"/>
              <w:ind w:left="329" w:hanging="284"/>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Idem as above</w:t>
            </w:r>
          </w:p>
        </w:tc>
      </w:tr>
      <w:tr w:rsidR="00721CF3" w:rsidRPr="00011630" w14:paraId="07E31D7E" w14:textId="77777777" w:rsidTr="00721CF3">
        <w:tc>
          <w:tcPr>
            <w:tcW w:w="2977" w:type="dxa"/>
            <w:shd w:val="clear" w:color="auto" w:fill="DFF3F6"/>
          </w:tcPr>
          <w:p w14:paraId="3998E2CB" w14:textId="1AFE2FB8" w:rsidR="00B000F4" w:rsidRPr="00011630" w:rsidRDefault="00B000F4" w:rsidP="002651FB">
            <w:pPr>
              <w:ind w:left="0"/>
              <w:jc w:val="left"/>
              <w:rPr>
                <w:rFonts w:eastAsiaTheme="minorEastAsia" w:cs="Arial"/>
                <w:b/>
                <w:bCs/>
                <w:color w:val="000000" w:themeColor="dark1"/>
                <w:kern w:val="24"/>
                <w:sz w:val="22"/>
                <w:szCs w:val="22"/>
              </w:rPr>
            </w:pPr>
            <w:r w:rsidRPr="004660D1">
              <w:rPr>
                <w:rFonts w:eastAsiaTheme="minorEastAsia" w:cs="Arial"/>
                <w:b/>
                <w:bCs/>
                <w:color w:val="61C2D0"/>
                <w:kern w:val="24"/>
                <w:sz w:val="22"/>
                <w:szCs w:val="22"/>
              </w:rPr>
              <w:t>Health eco-system</w:t>
            </w:r>
          </w:p>
        </w:tc>
        <w:tc>
          <w:tcPr>
            <w:tcW w:w="3686" w:type="dxa"/>
          </w:tcPr>
          <w:p w14:paraId="1EA68AE1" w14:textId="4C7FA217" w:rsidR="00B000F4" w:rsidRPr="004660D1" w:rsidRDefault="00B000F4" w:rsidP="00050016">
            <w:pPr>
              <w:pStyle w:val="ListParagraph"/>
              <w:numPr>
                <w:ilvl w:val="0"/>
                <w:numId w:val="12"/>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previously published comparative trials (with focus on adherence, absenteeism, resource use)</w:t>
            </w:r>
          </w:p>
          <w:p w14:paraId="394158D8" w14:textId="762AAD48" w:rsidR="00B000F4" w:rsidRPr="004660D1" w:rsidRDefault="00B000F4" w:rsidP="00050016">
            <w:pPr>
              <w:pStyle w:val="ListParagraph"/>
              <w:numPr>
                <w:ilvl w:val="0"/>
                <w:numId w:val="12"/>
              </w:numPr>
              <w:spacing w:after="0" w:line="240" w:lineRule="auto"/>
              <w:ind w:left="310" w:hanging="283"/>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w:t>
            </w:r>
          </w:p>
        </w:tc>
        <w:tc>
          <w:tcPr>
            <w:tcW w:w="2970" w:type="dxa"/>
          </w:tcPr>
          <w:p w14:paraId="1AFA1ACE" w14:textId="326C44BB" w:rsidR="00B000F4" w:rsidRPr="004660D1" w:rsidRDefault="00B000F4" w:rsidP="00050016">
            <w:pPr>
              <w:pStyle w:val="ListParagraph"/>
              <w:numPr>
                <w:ilvl w:val="0"/>
                <w:numId w:val="13"/>
              </w:numPr>
              <w:spacing w:after="0" w:line="240" w:lineRule="auto"/>
              <w:ind w:left="329" w:hanging="284"/>
              <w:contextualSpacing/>
              <w:jc w:val="left"/>
              <w:rPr>
                <w:rFonts w:ascii="Arial" w:hAnsi="Arial" w:cs="Arial"/>
                <w:color w:val="000000" w:themeColor="dark1"/>
                <w:kern w:val="24"/>
                <w:sz w:val="18"/>
                <w:szCs w:val="18"/>
                <w:lang w:val="en-GB"/>
              </w:rPr>
            </w:pPr>
            <w:r w:rsidRPr="004660D1">
              <w:rPr>
                <w:rFonts w:ascii="Arial" w:hAnsi="Arial" w:cs="Arial"/>
                <w:color w:val="000000" w:themeColor="dark1"/>
                <w:kern w:val="24"/>
                <w:sz w:val="18"/>
                <w:szCs w:val="18"/>
                <w:lang w:val="en-GB"/>
              </w:rPr>
              <w:t>Idem as above</w:t>
            </w:r>
          </w:p>
        </w:tc>
      </w:tr>
    </w:tbl>
    <w:p w14:paraId="047B4E5E" w14:textId="77777777" w:rsidR="00A235AD" w:rsidRPr="00011630" w:rsidRDefault="00A235AD" w:rsidP="002651FB">
      <w:pPr>
        <w:ind w:left="0"/>
      </w:pPr>
    </w:p>
    <w:p w14:paraId="56746282" w14:textId="315D4BDD" w:rsidR="00AD7C19" w:rsidRPr="00DE29AF" w:rsidRDefault="00571EF5" w:rsidP="002651FB">
      <w:pPr>
        <w:pStyle w:val="Heading2"/>
        <w:ind w:left="0"/>
        <w:rPr>
          <w:color w:val="5ABEC1"/>
          <w:sz w:val="32"/>
        </w:rPr>
      </w:pPr>
      <w:r w:rsidRPr="00DE29AF">
        <w:rPr>
          <w:color w:val="5ABEC1"/>
          <w:sz w:val="32"/>
        </w:rPr>
        <w:t>3.</w:t>
      </w:r>
      <w:r w:rsidR="00C85028" w:rsidRPr="00DE29AF">
        <w:rPr>
          <w:color w:val="5ABEC1"/>
          <w:sz w:val="32"/>
        </w:rPr>
        <w:t>3</w:t>
      </w:r>
      <w:r w:rsidRPr="00DE29AF">
        <w:rPr>
          <w:color w:val="5ABEC1"/>
          <w:sz w:val="32"/>
        </w:rPr>
        <w:t>. A</w:t>
      </w:r>
      <w:r w:rsidR="007C651D" w:rsidRPr="00DE29AF">
        <w:rPr>
          <w:color w:val="5ABEC1"/>
          <w:sz w:val="32"/>
        </w:rPr>
        <w:t>n iterative</w:t>
      </w:r>
      <w:r w:rsidRPr="00DE29AF">
        <w:rPr>
          <w:color w:val="5ABEC1"/>
          <w:sz w:val="32"/>
        </w:rPr>
        <w:t xml:space="preserve"> </w:t>
      </w:r>
      <w:r w:rsidR="00C85028" w:rsidRPr="00DE29AF">
        <w:rPr>
          <w:color w:val="5ABEC1"/>
          <w:sz w:val="32"/>
        </w:rPr>
        <w:t xml:space="preserve">dialogue and </w:t>
      </w:r>
      <w:r w:rsidRPr="00DE29AF">
        <w:rPr>
          <w:color w:val="5ABEC1"/>
          <w:sz w:val="32"/>
        </w:rPr>
        <w:t>communication line</w:t>
      </w:r>
    </w:p>
    <w:p w14:paraId="00AF25A5" w14:textId="520261C5" w:rsidR="00571EF5" w:rsidRPr="00011630" w:rsidRDefault="00C525AE" w:rsidP="002651FB">
      <w:pPr>
        <w:ind w:left="0"/>
      </w:pPr>
      <w:r w:rsidRPr="00011630">
        <w:t>Reducing uncertainty and increasing understanding between stakeholders requires an i</w:t>
      </w:r>
      <w:r w:rsidR="007C651D" w:rsidRPr="00011630">
        <w:t>terative</w:t>
      </w:r>
      <w:r w:rsidR="00571EF5" w:rsidRPr="00011630">
        <w:t xml:space="preserve"> communication between a company and the HTA body/payer</w:t>
      </w:r>
      <w:r w:rsidR="00980095" w:rsidRPr="00011630">
        <w:t xml:space="preserve"> and regulator</w:t>
      </w:r>
      <w:r w:rsidR="00571EF5" w:rsidRPr="00011630">
        <w:t xml:space="preserve"> for a particular dossier</w:t>
      </w:r>
      <w:r w:rsidRPr="00011630">
        <w:t xml:space="preserve"> </w:t>
      </w:r>
      <w:r w:rsidR="00C26802" w:rsidRPr="00011630">
        <w:t xml:space="preserve">to </w:t>
      </w:r>
      <w:r w:rsidR="00967F51" w:rsidRPr="00011630">
        <w:t xml:space="preserve">regularly </w:t>
      </w:r>
      <w:r w:rsidR="00980095" w:rsidRPr="00011630">
        <w:t xml:space="preserve">take </w:t>
      </w:r>
      <w:r w:rsidR="00967F51" w:rsidRPr="00011630">
        <w:t>s</w:t>
      </w:r>
      <w:r w:rsidR="00C26802" w:rsidRPr="00011630">
        <w:t>tock of newly acquired knowledge and</w:t>
      </w:r>
      <w:r w:rsidR="00967F51" w:rsidRPr="00011630">
        <w:t xml:space="preserve"> to revise </w:t>
      </w:r>
      <w:r w:rsidR="00980095" w:rsidRPr="00011630">
        <w:t xml:space="preserve">evidence generation </w:t>
      </w:r>
      <w:r w:rsidR="00967F51" w:rsidRPr="00011630">
        <w:t xml:space="preserve">commitments that might </w:t>
      </w:r>
      <w:r w:rsidR="00980095" w:rsidRPr="00011630">
        <w:t>not</w:t>
      </w:r>
      <w:r w:rsidR="00967F51" w:rsidRPr="00011630">
        <w:t xml:space="preserve"> be feasible. </w:t>
      </w:r>
      <w:r w:rsidR="00C26802" w:rsidRPr="00011630">
        <w:t xml:space="preserve"> </w:t>
      </w:r>
    </w:p>
    <w:p w14:paraId="2420049C" w14:textId="13D17E3E" w:rsidR="00870180" w:rsidRPr="001274E9" w:rsidRDefault="00571EF5" w:rsidP="002651FB">
      <w:pPr>
        <w:ind w:left="0"/>
      </w:pPr>
      <w:r w:rsidRPr="00011630">
        <w:t xml:space="preserve">Although we want to emphasize the </w:t>
      </w:r>
      <w:r w:rsidR="007C651D" w:rsidRPr="00011630">
        <w:t>iterative</w:t>
      </w:r>
      <w:r w:rsidRPr="00011630">
        <w:t xml:space="preserve"> character of this communication </w:t>
      </w:r>
      <w:r w:rsidR="00EC65FD" w:rsidRPr="00011630">
        <w:t>that evolves dependent on the needs of each product</w:t>
      </w:r>
      <w:r w:rsidRPr="00011630">
        <w:t xml:space="preserve">, </w:t>
      </w:r>
      <w:r w:rsidR="00C85028" w:rsidRPr="00011630">
        <w:t>three</w:t>
      </w:r>
      <w:r w:rsidR="00CA13F6" w:rsidRPr="00011630">
        <w:t xml:space="preserve"> milestones </w:t>
      </w:r>
      <w:r w:rsidR="007C651D" w:rsidRPr="00011630">
        <w:t xml:space="preserve">are </w:t>
      </w:r>
      <w:r w:rsidR="008A625F" w:rsidRPr="00011630">
        <w:t xml:space="preserve">identified </w:t>
      </w:r>
      <w:r w:rsidR="00EC65FD" w:rsidRPr="00011630">
        <w:t xml:space="preserve">that we consider to be </w:t>
      </w:r>
      <w:r w:rsidR="00D2348D">
        <w:t>desirable</w:t>
      </w:r>
      <w:r w:rsidR="00D2348D" w:rsidRPr="00011630">
        <w:t xml:space="preserve"> </w:t>
      </w:r>
      <w:r w:rsidR="00EC65FD" w:rsidRPr="00011630">
        <w:t xml:space="preserve">pre-planned points for </w:t>
      </w:r>
      <w:r w:rsidR="007C651D" w:rsidRPr="00011630">
        <w:t xml:space="preserve">each </w:t>
      </w:r>
      <w:r w:rsidR="0008781A" w:rsidRPr="00011630">
        <w:t>treatment</w:t>
      </w:r>
      <w:r w:rsidR="00D2348D">
        <w:t xml:space="preserve">, as illustrated in Figure 2 and explained below. </w:t>
      </w:r>
    </w:p>
    <w:p w14:paraId="40127823" w14:textId="60EF0A5E" w:rsidR="00BF194D" w:rsidRPr="001D4463" w:rsidRDefault="00870180" w:rsidP="002651FB">
      <w:pPr>
        <w:ind w:left="0"/>
        <w:rPr>
          <w:b/>
          <w:sz w:val="22"/>
        </w:rPr>
      </w:pPr>
      <w:r w:rsidRPr="00D2348D">
        <w:rPr>
          <w:noProof/>
        </w:rPr>
        <w:lastRenderedPageBreak/>
        <w:drawing>
          <wp:anchor distT="0" distB="0" distL="114300" distR="114300" simplePos="0" relativeHeight="251664384" behindDoc="0" locked="0" layoutInCell="1" allowOverlap="1" wp14:anchorId="036A93AC" wp14:editId="2DEA0C77">
            <wp:simplePos x="0" y="0"/>
            <wp:positionH relativeFrom="column">
              <wp:posOffset>-179070</wp:posOffset>
            </wp:positionH>
            <wp:positionV relativeFrom="paragraph">
              <wp:posOffset>225214</wp:posOffset>
            </wp:positionV>
            <wp:extent cx="6535420" cy="2675255"/>
            <wp:effectExtent l="0" t="0" r="5080" b="444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srcRect t="16523" b="21326"/>
                    <a:stretch/>
                  </pic:blipFill>
                  <pic:spPr bwMode="auto">
                    <a:xfrm>
                      <a:off x="0" y="0"/>
                      <a:ext cx="6535420" cy="267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94D" w:rsidRPr="00011630">
        <w:rPr>
          <w:b/>
          <w:sz w:val="22"/>
        </w:rPr>
        <w:t xml:space="preserve">Figure </w:t>
      </w:r>
      <w:r w:rsidR="00BF194D">
        <w:rPr>
          <w:b/>
          <w:sz w:val="22"/>
        </w:rPr>
        <w:t>2</w:t>
      </w:r>
      <w:r w:rsidR="00BF194D" w:rsidRPr="00011630">
        <w:rPr>
          <w:b/>
          <w:sz w:val="22"/>
        </w:rPr>
        <w:t xml:space="preserve">: TRUST-4RD </w:t>
      </w:r>
      <w:r w:rsidR="00BF194D">
        <w:rPr>
          <w:b/>
          <w:sz w:val="22"/>
        </w:rPr>
        <w:t>iterative dialogue</w:t>
      </w:r>
    </w:p>
    <w:p w14:paraId="46A0612A" w14:textId="03211A8D" w:rsidR="00B000F4" w:rsidRPr="00011630" w:rsidRDefault="0078186C" w:rsidP="002651FB">
      <w:pPr>
        <w:ind w:left="0"/>
      </w:pPr>
      <w:r w:rsidRPr="00011630">
        <w:t xml:space="preserve">A </w:t>
      </w:r>
      <w:r w:rsidRPr="00B000F4">
        <w:rPr>
          <w:u w:val="single"/>
        </w:rPr>
        <w:t>first</w:t>
      </w:r>
      <w:r w:rsidRPr="00011630">
        <w:t xml:space="preserve"> milestone is an early dialogue between industry, </w:t>
      </w:r>
      <w:r w:rsidR="00980095" w:rsidRPr="00011630">
        <w:t>regulatory</w:t>
      </w:r>
      <w:r w:rsidRPr="00011630">
        <w:t xml:space="preserve"> authorities such as EMA and HTA/payers, in the presence of clinicians and patient representatives. HTA/payer represent</w:t>
      </w:r>
      <w:r w:rsidR="008A625F" w:rsidRPr="00011630">
        <w:t>atives from different countries should be involved</w:t>
      </w:r>
      <w:r w:rsidRPr="00011630">
        <w:t xml:space="preserve">. </w:t>
      </w:r>
      <w:r w:rsidR="00B000F4">
        <w:t xml:space="preserve"> The rationale is that</w:t>
      </w:r>
      <w:r w:rsidR="00B000F4" w:rsidRPr="00011630">
        <w:t xml:space="preserve"> uncertainties can be avoided or solved by adjusting the design of pivotal interventional studies at an early stage. We refer here for instance to the work done by IRDIRC on clinical trials</w:t>
      </w:r>
      <w:r w:rsidR="00DA62C2">
        <w:t xml:space="preserve"> with small sample size</w:t>
      </w:r>
      <w:r w:rsidR="00B000F4" w:rsidRPr="00011630">
        <w:t>.</w:t>
      </w:r>
      <w:r w:rsidR="00B000F4" w:rsidRPr="00011630">
        <w:rPr>
          <w:rStyle w:val="FootnoteReference"/>
        </w:rPr>
        <w:footnoteReference w:id="14"/>
      </w:r>
      <w:r w:rsidR="00B000F4" w:rsidRPr="00011630">
        <w:t xml:space="preserve"> </w:t>
      </w:r>
      <w:r w:rsidR="00B000F4">
        <w:t>It</w:t>
      </w:r>
      <w:r w:rsidR="00B000F4" w:rsidRPr="00011630">
        <w:t xml:space="preserve"> must be made clear </w:t>
      </w:r>
      <w:r w:rsidR="00B000F4" w:rsidRPr="00C065CD">
        <w:t>therefore as soon as possible in the development process whether for practical or ethical or other reasons a randomized design is an option or not.</w:t>
      </w:r>
      <w:r w:rsidR="00B000F4" w:rsidRPr="00011630">
        <w:t xml:space="preserve"> </w:t>
      </w:r>
    </w:p>
    <w:p w14:paraId="75E49268" w14:textId="73B26B6B" w:rsidR="0078186C" w:rsidRDefault="00691585" w:rsidP="002651FB">
      <w:pPr>
        <w:ind w:left="0"/>
      </w:pPr>
      <w:r w:rsidRPr="00011630">
        <w:t xml:space="preserve">Of course, not all uncertainties can be identified and discussed early on. Hence, the early involvement is needed but </w:t>
      </w:r>
      <w:r w:rsidR="00980F49" w:rsidRPr="00011630">
        <w:t>will</w:t>
      </w:r>
      <w:r w:rsidRPr="00011630">
        <w:t xml:space="preserve"> not be sufficient to deal with all evidence gaps at that point.</w:t>
      </w:r>
    </w:p>
    <w:p w14:paraId="3F07EFF4" w14:textId="2B3226AC" w:rsidR="008225F7" w:rsidRPr="00011630" w:rsidRDefault="00BC6E54" w:rsidP="002651FB">
      <w:pPr>
        <w:ind w:left="0"/>
      </w:pPr>
      <w:r w:rsidRPr="00011630">
        <w:t>Th</w:t>
      </w:r>
      <w:r w:rsidR="00C13B32" w:rsidRPr="00011630">
        <w:t xml:space="preserve">e </w:t>
      </w:r>
      <w:r w:rsidR="00C13B32" w:rsidRPr="00B000F4">
        <w:t>first</w:t>
      </w:r>
      <w:r w:rsidR="00C13B32" w:rsidRPr="00011630">
        <w:t xml:space="preserve"> </w:t>
      </w:r>
      <w:r w:rsidRPr="00011630">
        <w:t xml:space="preserve">dialogue </w:t>
      </w:r>
      <w:r w:rsidR="00C13B32" w:rsidRPr="00011630">
        <w:t>should</w:t>
      </w:r>
      <w:r w:rsidRPr="00011630">
        <w:t xml:space="preserve"> take place </w:t>
      </w:r>
      <w:r w:rsidR="00C13B32" w:rsidRPr="00011630">
        <w:t>very early in clinical development with all stakeholders to share the scientific ethos behind the development of the treatment, discuss any potential disruptive aspects of the technology in the healthcare system (e.g. form of reimbursement routes), potential evidence uncertainties and the overall plan for evidence generation</w:t>
      </w:r>
      <w:r w:rsidRPr="00011630">
        <w:t>.</w:t>
      </w:r>
      <w:r w:rsidR="00802E91" w:rsidRPr="00011630">
        <w:rPr>
          <w:rStyle w:val="FootnoteReference"/>
        </w:rPr>
        <w:footnoteReference w:id="15"/>
      </w:r>
      <w:r w:rsidRPr="00011630">
        <w:t xml:space="preserve"> </w:t>
      </w:r>
      <w:r w:rsidR="008225F7" w:rsidRPr="00011630">
        <w:t>More than one dialogue is of course possible during this phase but at least one should be organised.</w:t>
      </w:r>
      <w:r w:rsidR="00CE4AD3">
        <w:t xml:space="preserve"> It is obviously also possible to have at this stage bilateral dialogues, i.e. between industry and individual payers, alongside the </w:t>
      </w:r>
      <w:r w:rsidR="00F33ECA">
        <w:t>multi-stakeholder</w:t>
      </w:r>
      <w:r w:rsidR="00CE4AD3">
        <w:t xml:space="preserve"> joint dialogue but the focus at this early stage lies on the latter format.</w:t>
      </w:r>
      <w:r w:rsidR="008225F7" w:rsidRPr="00011630">
        <w:t xml:space="preserve"> </w:t>
      </w:r>
      <w:r w:rsidR="00C85028" w:rsidRPr="00011630">
        <w:rPr>
          <w:i/>
        </w:rPr>
        <w:t>The taxonomy of evidence gaps, and the proposed data collection must be on the agenda of this early joint dialogue</w:t>
      </w:r>
      <w:r w:rsidR="00CE4AD3">
        <w:rPr>
          <w:i/>
        </w:rPr>
        <w:t xml:space="preserve"> and possible bilateral dialogues</w:t>
      </w:r>
      <w:r w:rsidR="00C85028" w:rsidRPr="00011630">
        <w:t xml:space="preserve">. </w:t>
      </w:r>
    </w:p>
    <w:p w14:paraId="5CDD3F80" w14:textId="695CD5C9" w:rsidR="008A625F" w:rsidRPr="00011630" w:rsidRDefault="008A625F" w:rsidP="002651FB">
      <w:pPr>
        <w:ind w:left="0"/>
      </w:pPr>
      <w:r w:rsidRPr="00011630">
        <w:lastRenderedPageBreak/>
        <w:t xml:space="preserve">In each specific dossier, issues will occur with the available/planned data sources and designs. It is important that these issues are explicitly listed and discussed, leading to suggested solutions. </w:t>
      </w:r>
      <w:r w:rsidR="002629F6" w:rsidRPr="00011630">
        <w:t>The process for this should be as illustra</w:t>
      </w:r>
      <w:r w:rsidR="00450662" w:rsidRPr="00011630">
        <w:t>t</w:t>
      </w:r>
      <w:r w:rsidR="002629F6" w:rsidRPr="00011630">
        <w:t xml:space="preserve">ed in Figure </w:t>
      </w:r>
      <w:r w:rsidR="00451E51">
        <w:t>3</w:t>
      </w:r>
      <w:r w:rsidR="002629F6" w:rsidRPr="00011630">
        <w:t>.</w:t>
      </w:r>
    </w:p>
    <w:p w14:paraId="17EFFC3C" w14:textId="29827356" w:rsidR="002629F6" w:rsidRPr="00011630" w:rsidRDefault="00AA798E" w:rsidP="002651FB">
      <w:pPr>
        <w:ind w:left="0"/>
      </w:pPr>
      <w:r w:rsidRPr="00011630">
        <w:rPr>
          <w:noProof/>
        </w:rPr>
        <w:drawing>
          <wp:anchor distT="0" distB="0" distL="114300" distR="114300" simplePos="0" relativeHeight="251661312" behindDoc="0" locked="0" layoutInCell="1" allowOverlap="1" wp14:anchorId="0418E998" wp14:editId="018BB75E">
            <wp:simplePos x="0" y="0"/>
            <wp:positionH relativeFrom="column">
              <wp:posOffset>16510</wp:posOffset>
            </wp:positionH>
            <wp:positionV relativeFrom="paragraph">
              <wp:posOffset>467360</wp:posOffset>
            </wp:positionV>
            <wp:extent cx="6041390" cy="2978785"/>
            <wp:effectExtent l="0" t="0" r="3810" b="5715"/>
            <wp:wrapTopAndBottom/>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srcRect l="2479" t="9410" r="4914" b="21236"/>
                    <a:stretch/>
                  </pic:blipFill>
                  <pic:spPr bwMode="auto">
                    <a:xfrm>
                      <a:off x="0" y="0"/>
                      <a:ext cx="6041390" cy="2978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662" w:rsidRPr="00011630">
        <w:rPr>
          <w:b/>
          <w:sz w:val="22"/>
        </w:rPr>
        <w:t xml:space="preserve">Figure </w:t>
      </w:r>
      <w:r w:rsidR="00BF194D">
        <w:rPr>
          <w:b/>
          <w:sz w:val="22"/>
        </w:rPr>
        <w:t>3</w:t>
      </w:r>
      <w:r w:rsidR="00450662" w:rsidRPr="00011630">
        <w:rPr>
          <w:b/>
          <w:sz w:val="22"/>
        </w:rPr>
        <w:t>: process for matching data sources/designs with evidence gaps</w:t>
      </w:r>
    </w:p>
    <w:p w14:paraId="56CB016C" w14:textId="14C09AEC" w:rsidR="00BF194D" w:rsidRDefault="00011630" w:rsidP="002651FB">
      <w:pPr>
        <w:spacing w:after="0"/>
        <w:ind w:left="0"/>
      </w:pPr>
      <w:r>
        <w:t xml:space="preserve">For step 1, the list of possible evidence gaps can be consulted to identify the major gaps. For step 2, the list of available data sources and designs can be </w:t>
      </w:r>
      <w:r w:rsidR="009028F1">
        <w:t>consulted</w:t>
      </w:r>
      <w:r>
        <w:t xml:space="preserve">. For step 3, the overview of pros and cons of the different data sources can serve as input. Step 4 requires </w:t>
      </w:r>
      <w:r w:rsidR="00ED6354">
        <w:t xml:space="preserve">the application of the principled compromise concept. </w:t>
      </w:r>
      <w:r w:rsidR="00BF194D">
        <w:rPr>
          <w:rStyle w:val="FootnoteReference"/>
        </w:rPr>
        <w:footnoteReference w:id="16"/>
      </w:r>
      <w:r w:rsidR="00BF194D" w:rsidRPr="00BF194D">
        <w:rPr>
          <w:vertAlign w:val="superscript"/>
        </w:rPr>
        <w:t>,</w:t>
      </w:r>
      <w:r w:rsidR="00B000F4">
        <w:rPr>
          <w:rStyle w:val="FootnoteReference"/>
        </w:rPr>
        <w:footnoteReference w:id="17"/>
      </w:r>
      <w:r w:rsidR="00BF194D">
        <w:t xml:space="preserve"> This concept involves that d</w:t>
      </w:r>
      <w:r w:rsidR="00BF194D" w:rsidRPr="00BF194D">
        <w:t xml:space="preserve">uring the process and the related debates, statements and communications should be: </w:t>
      </w:r>
    </w:p>
    <w:p w14:paraId="1FD83647" w14:textId="77777777" w:rsidR="00C7704D" w:rsidRPr="00BF194D" w:rsidRDefault="00C7704D" w:rsidP="002651FB">
      <w:pPr>
        <w:spacing w:after="0"/>
        <w:ind w:left="0"/>
      </w:pPr>
    </w:p>
    <w:p w14:paraId="450269D2" w14:textId="77777777" w:rsidR="00BF194D" w:rsidRPr="00BF194D" w:rsidRDefault="00BF194D" w:rsidP="00050016">
      <w:pPr>
        <w:pStyle w:val="ListParagraph"/>
        <w:numPr>
          <w:ilvl w:val="0"/>
          <w:numId w:val="8"/>
        </w:numPr>
        <w:spacing w:after="120"/>
        <w:ind w:left="0" w:firstLine="0"/>
      </w:pPr>
      <w:r w:rsidRPr="00BF194D">
        <w:t xml:space="preserve">Reliable: there should be no over-claiming </w:t>
      </w:r>
    </w:p>
    <w:p w14:paraId="08A2721D" w14:textId="77777777" w:rsidR="00BF194D" w:rsidRPr="00BF194D" w:rsidRDefault="00BF194D" w:rsidP="00050016">
      <w:pPr>
        <w:pStyle w:val="ListParagraph"/>
        <w:numPr>
          <w:ilvl w:val="0"/>
          <w:numId w:val="8"/>
        </w:numPr>
        <w:spacing w:after="120"/>
        <w:ind w:left="0" w:firstLine="0"/>
      </w:pPr>
      <w:r w:rsidRPr="00BF194D">
        <w:t>Reflective:  critically robust positions should be aired and debated</w:t>
      </w:r>
    </w:p>
    <w:p w14:paraId="79E0AE08" w14:textId="5B006753" w:rsidR="00ED6354" w:rsidRDefault="00BF194D" w:rsidP="00050016">
      <w:pPr>
        <w:pStyle w:val="ListParagraph"/>
        <w:numPr>
          <w:ilvl w:val="0"/>
          <w:numId w:val="8"/>
        </w:numPr>
        <w:spacing w:after="120"/>
        <w:ind w:left="0" w:firstLine="0"/>
      </w:pPr>
      <w:r w:rsidRPr="00BF194D">
        <w:t>Respectful: negotiations should take place in a democratic spirit</w:t>
      </w:r>
    </w:p>
    <w:p w14:paraId="5630AB82" w14:textId="789D78E2" w:rsidR="008A625F" w:rsidRPr="00011630" w:rsidRDefault="002629F6" w:rsidP="002651FB">
      <w:pPr>
        <w:ind w:left="0"/>
      </w:pPr>
      <w:r w:rsidRPr="00011630">
        <w:t>The following example</w:t>
      </w:r>
      <w:r w:rsidR="008A625F" w:rsidRPr="00011630">
        <w:t xml:space="preserve"> </w:t>
      </w:r>
      <w:r w:rsidRPr="00011630">
        <w:t>shows</w:t>
      </w:r>
      <w:r w:rsidR="008A625F" w:rsidRPr="00011630">
        <w:t xml:space="preserve"> how this may work during this </w:t>
      </w:r>
      <w:r w:rsidR="00B000F4">
        <w:t xml:space="preserve">first </w:t>
      </w:r>
      <w:r w:rsidR="008A625F" w:rsidRPr="00011630">
        <w:t xml:space="preserve">early dialogue: </w:t>
      </w:r>
    </w:p>
    <w:p w14:paraId="72C77780" w14:textId="4F9FAC3C" w:rsidR="008A625F" w:rsidRPr="00011630" w:rsidRDefault="002629F6" w:rsidP="002651FB">
      <w:pPr>
        <w:ind w:left="0"/>
      </w:pPr>
      <w:r w:rsidRPr="00011630">
        <w:t xml:space="preserve">Example: </w:t>
      </w:r>
      <w:r w:rsidRPr="00011630">
        <w:sym w:font="Wingdings" w:char="F081"/>
      </w:r>
      <w:r w:rsidRPr="00011630">
        <w:t xml:space="preserve"> anticipated gap regarding long term evidence of the new treatment</w:t>
      </w:r>
      <w:r w:rsidR="008A625F" w:rsidRPr="00011630">
        <w:t xml:space="preserve">. </w:t>
      </w:r>
      <w:r w:rsidRPr="00011630">
        <w:sym w:font="Wingdings" w:char="F082"/>
      </w:r>
      <w:r w:rsidRPr="00011630">
        <w:t xml:space="preserve"> Plan follow up of trial patients. </w:t>
      </w:r>
      <w:r w:rsidRPr="00011630">
        <w:sym w:font="Wingdings" w:char="F083"/>
      </w:r>
      <w:r w:rsidRPr="00011630">
        <w:t xml:space="preserve"> </w:t>
      </w:r>
      <w:r w:rsidR="008A625F" w:rsidRPr="00011630">
        <w:t xml:space="preserve">This will lead to more information about the sustainability of the effect, but it will still be based on a trial-population </w:t>
      </w:r>
      <w:r w:rsidR="008A625F" w:rsidRPr="00011630">
        <w:sym w:font="Wingdings" w:char="F0E0"/>
      </w:r>
      <w:r w:rsidRPr="00011630">
        <w:sym w:font="Wingdings" w:char="F084"/>
      </w:r>
      <w:r w:rsidR="008A625F" w:rsidRPr="00011630">
        <w:t xml:space="preserve"> a solution might be to timely plan to include patients treated post launch in routine practice in a </w:t>
      </w:r>
      <w:r w:rsidR="003437FF">
        <w:t xml:space="preserve">– preferably existing – </w:t>
      </w:r>
      <w:r w:rsidR="008A625F" w:rsidRPr="00011630">
        <w:t xml:space="preserve">registry and observe </w:t>
      </w:r>
      <w:r w:rsidR="00843743">
        <w:t>real-world</w:t>
      </w:r>
      <w:r w:rsidR="008A625F" w:rsidRPr="00011630">
        <w:t xml:space="preserve"> </w:t>
      </w:r>
      <w:r w:rsidR="007325DD">
        <w:t xml:space="preserve">long term follow up </w:t>
      </w:r>
      <w:r w:rsidR="008A625F" w:rsidRPr="00011630">
        <w:t xml:space="preserve">outcomes. </w:t>
      </w:r>
    </w:p>
    <w:p w14:paraId="63A8D83A" w14:textId="650FB906" w:rsidR="008A625F" w:rsidRPr="00011630" w:rsidRDefault="002629F6" w:rsidP="002651FB">
      <w:pPr>
        <w:ind w:left="0"/>
      </w:pPr>
      <w:r w:rsidRPr="00011630">
        <w:lastRenderedPageBreak/>
        <w:t>A</w:t>
      </w:r>
      <w:r w:rsidR="008A625F" w:rsidRPr="00011630">
        <w:t xml:space="preserve">dditional issues </w:t>
      </w:r>
      <w:r w:rsidRPr="00011630">
        <w:t xml:space="preserve">and solutions </w:t>
      </w:r>
      <w:r w:rsidR="008A625F" w:rsidRPr="00011630">
        <w:t xml:space="preserve">were raised during an interactive workshop with industry, representatives from HTA bodies, payers, patient associations and clinicians. We propose that an inventory of issues and solutions is created </w:t>
      </w:r>
      <w:r w:rsidRPr="00011630">
        <w:t xml:space="preserve">according to the above framework </w:t>
      </w:r>
      <w:r w:rsidR="008A625F" w:rsidRPr="00011630">
        <w:t>and regularly updated by HTA authorities so that future submissions and negotiations can learn from these and find inspiration in previous solutions.</w:t>
      </w:r>
      <w:r w:rsidR="00A834A5">
        <w:t xml:space="preserve"> In the Appendix, examples of such issues and solutions are listed. </w:t>
      </w:r>
      <w:r w:rsidR="008A625F" w:rsidRPr="00011630">
        <w:t xml:space="preserve">  </w:t>
      </w:r>
    </w:p>
    <w:p w14:paraId="55CB963D" w14:textId="184CA1F2" w:rsidR="009E437E" w:rsidRPr="00011630" w:rsidRDefault="008225F7" w:rsidP="002651FB">
      <w:pPr>
        <w:ind w:left="0"/>
      </w:pPr>
      <w:r w:rsidRPr="00011630">
        <w:t xml:space="preserve">A </w:t>
      </w:r>
      <w:r w:rsidRPr="00011630">
        <w:rPr>
          <w:u w:val="single"/>
        </w:rPr>
        <w:t xml:space="preserve">second </w:t>
      </w:r>
      <w:r w:rsidRPr="00011630">
        <w:t xml:space="preserve">dialogue </w:t>
      </w:r>
      <w:r w:rsidR="00C13B32" w:rsidRPr="00011630">
        <w:t>should</w:t>
      </w:r>
      <w:r w:rsidRPr="00011630">
        <w:t xml:space="preserve"> </w:t>
      </w:r>
      <w:r w:rsidR="007325DD">
        <w:t xml:space="preserve">ideally </w:t>
      </w:r>
      <w:r w:rsidRPr="00011630">
        <w:t xml:space="preserve">take place after the completion of the pivotal trial in order to </w:t>
      </w:r>
      <w:r w:rsidR="00BA0659" w:rsidRPr="00011630">
        <w:t>address remaining uncertainties, with the remaining data gaps explicitly on the agenda</w:t>
      </w:r>
      <w:r w:rsidR="00E324BB" w:rsidRPr="00011630">
        <w:t xml:space="preserve">. </w:t>
      </w:r>
      <w:r w:rsidRPr="00011630">
        <w:t xml:space="preserve"> </w:t>
      </w:r>
      <w:r w:rsidR="00B208C7" w:rsidRPr="00011630">
        <w:t xml:space="preserve">Again, more than one dialogue is possible but at least one should be organized. This dialogue </w:t>
      </w:r>
      <w:r w:rsidR="007325DD">
        <w:t>should</w:t>
      </w:r>
      <w:r w:rsidR="007325DD" w:rsidRPr="00011630">
        <w:t xml:space="preserve"> </w:t>
      </w:r>
      <w:r w:rsidR="00B208C7" w:rsidRPr="00011630">
        <w:t xml:space="preserve">take place before official submission for </w:t>
      </w:r>
      <w:r w:rsidR="00980F49" w:rsidRPr="00011630">
        <w:t>HTA and</w:t>
      </w:r>
      <w:r w:rsidR="00B208C7" w:rsidRPr="00011630">
        <w:t xml:space="preserve"> </w:t>
      </w:r>
      <w:r w:rsidR="009C0835" w:rsidRPr="00011630">
        <w:t>should</w:t>
      </w:r>
      <w:r w:rsidR="00B208C7" w:rsidRPr="00011630">
        <w:t xml:space="preserve"> again involve patients and clinicians.</w:t>
      </w:r>
      <w:r w:rsidR="0078186C" w:rsidRPr="00011630">
        <w:t xml:space="preserve"> This dialogue may also be bilateral and on a country (or group of countries’) level. </w:t>
      </w:r>
      <w:r w:rsidR="00E324BB" w:rsidRPr="00011630">
        <w:t>Importantly, the</w:t>
      </w:r>
      <w:r w:rsidR="00CC3AE5" w:rsidRPr="00011630">
        <w:t xml:space="preserve"> potential for</w:t>
      </w:r>
      <w:r w:rsidR="00E324BB" w:rsidRPr="00011630">
        <w:t xml:space="preserve"> post-launch data collection </w:t>
      </w:r>
      <w:r w:rsidR="007325DD">
        <w:t>should</w:t>
      </w:r>
      <w:r w:rsidR="007325DD" w:rsidRPr="00011630">
        <w:t xml:space="preserve"> </w:t>
      </w:r>
      <w:r w:rsidR="00E324BB" w:rsidRPr="00011630">
        <w:t xml:space="preserve">be discussed here. </w:t>
      </w:r>
      <w:r w:rsidR="00802E91" w:rsidRPr="00011630">
        <w:t xml:space="preserve">Indeed, if there is post-launch data collection, this pre-HTA dialogue will already discuss what data should </w:t>
      </w:r>
      <w:r w:rsidR="007325DD">
        <w:t xml:space="preserve">ideally </w:t>
      </w:r>
      <w:r w:rsidR="00802E91" w:rsidRPr="00011630">
        <w:t>be collected</w:t>
      </w:r>
      <w:r w:rsidR="007325DD">
        <w:t xml:space="preserve"> which will facilitate the eventual agreement on </w:t>
      </w:r>
      <w:r w:rsidR="007325DD" w:rsidRPr="00011630">
        <w:t>post-launch data collection</w:t>
      </w:r>
      <w:r w:rsidR="007325DD">
        <w:t xml:space="preserve"> (such an agreement usually takes place after the assessment)</w:t>
      </w:r>
      <w:r w:rsidR="00802E91" w:rsidRPr="00011630">
        <w:t xml:space="preserve">.  </w:t>
      </w:r>
      <w:r w:rsidR="00B03DB0">
        <w:t xml:space="preserve">The same process as illustrated in Figure 2 is proposed. </w:t>
      </w:r>
    </w:p>
    <w:p w14:paraId="22BD51F6" w14:textId="03702285" w:rsidR="002629F6" w:rsidRPr="00011630" w:rsidRDefault="002629F6" w:rsidP="002651FB">
      <w:pPr>
        <w:ind w:left="0"/>
      </w:pPr>
      <w:r w:rsidRPr="00011630">
        <w:t xml:space="preserve">The following example shows how this may work during this pre-HTA dialogue: </w:t>
      </w:r>
    </w:p>
    <w:p w14:paraId="1602B2D8" w14:textId="1F5E69E7" w:rsidR="002629F6" w:rsidRPr="00011630" w:rsidRDefault="002629F6" w:rsidP="002651FB">
      <w:pPr>
        <w:ind w:left="0"/>
      </w:pPr>
      <w:r w:rsidRPr="00011630">
        <w:t xml:space="preserve">Example: </w:t>
      </w:r>
      <w:r w:rsidRPr="00011630">
        <w:sym w:font="Wingdings" w:char="F081"/>
      </w:r>
      <w:r w:rsidRPr="00011630">
        <w:t xml:space="preserve"> Uncertainty about the relationship between </w:t>
      </w:r>
      <w:r w:rsidR="00C0288C">
        <w:t xml:space="preserve">the effect on </w:t>
      </w:r>
      <w:r w:rsidRPr="00011630">
        <w:t xml:space="preserve">a surrogate </w:t>
      </w:r>
      <w:r w:rsidR="00C0288C">
        <w:t>outcome</w:t>
      </w:r>
      <w:r w:rsidR="00C0288C" w:rsidRPr="00011630">
        <w:t xml:space="preserve"> </w:t>
      </w:r>
      <w:r w:rsidRPr="00011630">
        <w:t xml:space="preserve">and </w:t>
      </w:r>
      <w:r w:rsidR="00C0288C">
        <w:t xml:space="preserve">the effect on </w:t>
      </w:r>
      <w:r w:rsidRPr="00011630">
        <w:t xml:space="preserve">a clinically relevant outcome (e.g. </w:t>
      </w:r>
      <w:r w:rsidR="00C0288C">
        <w:t>respectively</w:t>
      </w:r>
      <w:r w:rsidR="00C0288C" w:rsidRPr="00011630">
        <w:t xml:space="preserve"> </w:t>
      </w:r>
      <w:r w:rsidRPr="00011630">
        <w:t xml:space="preserve">response rate and survival)  </w:t>
      </w:r>
      <w:r w:rsidRPr="00011630">
        <w:sym w:font="Wingdings" w:char="F082"/>
      </w:r>
      <w:r w:rsidRPr="00011630">
        <w:t xml:space="preserve"> There has been a ‘historical’ </w:t>
      </w:r>
      <w:r w:rsidR="00C0288C">
        <w:t>correlation</w:t>
      </w:r>
      <w:r w:rsidR="00C0288C" w:rsidRPr="00011630">
        <w:t xml:space="preserve"> </w:t>
      </w:r>
      <w:r w:rsidR="00C0288C">
        <w:t>shown</w:t>
      </w:r>
      <w:r w:rsidR="00C0288C" w:rsidRPr="00011630">
        <w:t xml:space="preserve"> </w:t>
      </w:r>
      <w:r w:rsidRPr="00011630">
        <w:t xml:space="preserve">between the </w:t>
      </w:r>
      <w:r w:rsidR="00C0288C">
        <w:t xml:space="preserve">planned </w:t>
      </w:r>
      <w:r w:rsidRPr="00011630">
        <w:t xml:space="preserve">surrogate </w:t>
      </w:r>
      <w:r w:rsidR="00C0288C">
        <w:t xml:space="preserve">outcome </w:t>
      </w:r>
      <w:r w:rsidRPr="00011630">
        <w:t>and the clinically relevant outcome</w:t>
      </w:r>
      <w:r w:rsidR="00C0288C">
        <w:t>, but that was</w:t>
      </w:r>
      <w:r w:rsidRPr="00011630">
        <w:t xml:space="preserve"> with current </w:t>
      </w:r>
      <w:r w:rsidR="00C0288C">
        <w:t xml:space="preserve">standard of </w:t>
      </w:r>
      <w:r w:rsidRPr="00011630">
        <w:t xml:space="preserve">care. </w:t>
      </w:r>
      <w:r w:rsidRPr="00011630">
        <w:sym w:font="Wingdings" w:char="F083"/>
      </w:r>
      <w:r w:rsidRPr="00011630">
        <w:t xml:space="preserve"> However, it is likely that this relationship may not be the same </w:t>
      </w:r>
      <w:r w:rsidR="00E261E6">
        <w:t>for</w:t>
      </w:r>
      <w:r w:rsidRPr="00011630">
        <w:t xml:space="preserve"> the new treatment </w:t>
      </w:r>
      <w:r w:rsidRPr="00011630">
        <w:sym w:font="Wingdings" w:char="F0E0"/>
      </w:r>
      <w:r w:rsidRPr="00011630">
        <w:t xml:space="preserve"> </w:t>
      </w:r>
      <w:r w:rsidRPr="00011630">
        <w:sym w:font="Wingdings" w:char="F084"/>
      </w:r>
      <w:r w:rsidRPr="00011630">
        <w:t xml:space="preserve"> a solution is to accept the historical </w:t>
      </w:r>
      <w:r w:rsidR="00E261E6">
        <w:t>correlation</w:t>
      </w:r>
      <w:r w:rsidR="00E261E6" w:rsidRPr="00011630">
        <w:t xml:space="preserve"> </w:t>
      </w:r>
      <w:r w:rsidRPr="00011630">
        <w:t xml:space="preserve">in the simulations for HTA submission and to explore the new relationship in a registry post launch. </w:t>
      </w:r>
    </w:p>
    <w:p w14:paraId="35953AF2" w14:textId="4D8EBE46" w:rsidR="00482B56" w:rsidRPr="00011630" w:rsidRDefault="00482B56" w:rsidP="002651FB">
      <w:pPr>
        <w:ind w:left="0"/>
      </w:pPr>
      <w:r w:rsidRPr="00011630">
        <w:t>The fi</w:t>
      </w:r>
      <w:r w:rsidR="00450662" w:rsidRPr="00011630">
        <w:t>r</w:t>
      </w:r>
      <w:r w:rsidRPr="00011630">
        <w:t xml:space="preserve">st and second dialogue are both early dialogues, however with different timings, namely before and after the major confirmatory evidence on </w:t>
      </w:r>
      <w:r w:rsidR="009028F1" w:rsidRPr="00011630">
        <w:t>the</w:t>
      </w:r>
      <w:r w:rsidRPr="00011630">
        <w:t xml:space="preserve"> new therapy. </w:t>
      </w:r>
      <w:r w:rsidR="00802E91" w:rsidRPr="00011630">
        <w:t xml:space="preserve">There are existing </w:t>
      </w:r>
      <w:r w:rsidR="00802E91" w:rsidRPr="00C065CD">
        <w:t xml:space="preserve">models for </w:t>
      </w:r>
      <w:r w:rsidR="00E261E6" w:rsidRPr="00C065CD">
        <w:t>scientific advice/</w:t>
      </w:r>
      <w:r w:rsidRPr="00C065CD">
        <w:t>e</w:t>
      </w:r>
      <w:r w:rsidR="00802E91" w:rsidRPr="00C065CD">
        <w:t xml:space="preserve">arly </w:t>
      </w:r>
      <w:r w:rsidRPr="00C065CD">
        <w:t>d</w:t>
      </w:r>
      <w:r w:rsidR="00802E91" w:rsidRPr="00C065CD">
        <w:t xml:space="preserve">ialogues in </w:t>
      </w:r>
      <w:r w:rsidR="00E261E6" w:rsidRPr="00C065CD">
        <w:t>EMA</w:t>
      </w:r>
      <w:r w:rsidR="00463BE0" w:rsidRPr="00C065CD">
        <w:rPr>
          <w:rStyle w:val="FootnoteReference"/>
        </w:rPr>
        <w:footnoteReference w:id="18"/>
      </w:r>
      <w:r w:rsidR="006827C3" w:rsidRPr="00C065CD">
        <w:t xml:space="preserve"> </w:t>
      </w:r>
      <w:r w:rsidR="00E261E6" w:rsidRPr="00C065CD">
        <w:t xml:space="preserve">and </w:t>
      </w:r>
      <w:r w:rsidR="00802E91" w:rsidRPr="00C065CD">
        <w:t>EUnetHTA</w:t>
      </w:r>
      <w:r w:rsidR="009854C5" w:rsidRPr="00C065CD">
        <w:rPr>
          <w:rStyle w:val="FootnoteReference"/>
        </w:rPr>
        <w:footnoteReference w:id="19"/>
      </w:r>
      <w:r w:rsidR="00802E91" w:rsidRPr="00C065CD">
        <w:t xml:space="preserve">. These require organisation and resources from all parties involved with development of a Briefing Book of issues by Industry and a response document by </w:t>
      </w:r>
      <w:r w:rsidR="00E261E6" w:rsidRPr="00C065CD">
        <w:t>EMA/</w:t>
      </w:r>
      <w:r w:rsidR="00802E91" w:rsidRPr="00C065CD">
        <w:t xml:space="preserve">HTA bodies. During the data collection period regular </w:t>
      </w:r>
      <w:r w:rsidR="006827C3" w:rsidRPr="00C065CD">
        <w:t xml:space="preserve">submissions </w:t>
      </w:r>
      <w:r w:rsidR="00802E91" w:rsidRPr="00C065CD">
        <w:t xml:space="preserve">are needed to </w:t>
      </w:r>
      <w:r w:rsidR="006827C3" w:rsidRPr="00C065CD">
        <w:t>review</w:t>
      </w:r>
      <w:r w:rsidR="00802E91" w:rsidRPr="00C065CD">
        <w:t xml:space="preserve"> quality and </w:t>
      </w:r>
      <w:r w:rsidR="00980F49" w:rsidRPr="00C065CD">
        <w:t>quantity</w:t>
      </w:r>
      <w:r w:rsidR="00802E91" w:rsidRPr="00C065CD">
        <w:t xml:space="preserve"> of data </w:t>
      </w:r>
      <w:r w:rsidR="006827C3" w:rsidRPr="00C065CD">
        <w:t>or amend</w:t>
      </w:r>
      <w:r w:rsidR="00802E91" w:rsidRPr="00C065CD">
        <w:t xml:space="preserve"> plans as needed</w:t>
      </w:r>
      <w:r w:rsidRPr="00C065CD">
        <w:t>.</w:t>
      </w:r>
    </w:p>
    <w:p w14:paraId="05AE345E" w14:textId="3B9F4EFE" w:rsidR="00802E91" w:rsidRPr="00011630" w:rsidRDefault="00802E91" w:rsidP="002651FB">
      <w:pPr>
        <w:ind w:left="0"/>
      </w:pPr>
      <w:r w:rsidRPr="00011630">
        <w:t xml:space="preserve">A </w:t>
      </w:r>
      <w:r w:rsidR="005E1A35" w:rsidRPr="00011630">
        <w:rPr>
          <w:u w:val="single"/>
        </w:rPr>
        <w:t>third</w:t>
      </w:r>
      <w:r w:rsidR="005E1A35" w:rsidRPr="00011630">
        <w:t xml:space="preserve"> </w:t>
      </w:r>
      <w:r w:rsidR="00482B56" w:rsidRPr="00011630">
        <w:t>milestone dialogue</w:t>
      </w:r>
      <w:r w:rsidR="005E1A35" w:rsidRPr="00011630">
        <w:t xml:space="preserve"> is then the </w:t>
      </w:r>
      <w:r w:rsidRPr="00011630">
        <w:t xml:space="preserve">post HTA dialogue will </w:t>
      </w:r>
      <w:r w:rsidR="005E1A35" w:rsidRPr="00011630">
        <w:t xml:space="preserve">discuss the results of the additional evidence generation </w:t>
      </w:r>
      <w:r w:rsidR="00482B56" w:rsidRPr="00011630">
        <w:t xml:space="preserve">post-launch and its further consequences. </w:t>
      </w:r>
      <w:r w:rsidR="00412A2C">
        <w:t xml:space="preserve">This third milestone is focused on assessing whether the predictions that were made upon the time of </w:t>
      </w:r>
      <w:r w:rsidR="00412A2C">
        <w:lastRenderedPageBreak/>
        <w:t xml:space="preserve">HTA submission are validated in the </w:t>
      </w:r>
      <w:r w:rsidR="00843743">
        <w:t>real-world</w:t>
      </w:r>
      <w:r w:rsidR="00412A2C">
        <w:t xml:space="preserve"> setting. The </w:t>
      </w:r>
      <w:r w:rsidR="00FC26D1">
        <w:t>consequences</w:t>
      </w:r>
      <w:r w:rsidR="00412A2C">
        <w:t xml:space="preserve"> of ‘not making the promise’ may also be financial if it was decided upon launch to install a risk sharing agreement. We refer to Makady et al (2018) for several</w:t>
      </w:r>
      <w:r w:rsidR="00412A2C" w:rsidRPr="00412A2C">
        <w:t xml:space="preserve"> examples of therapeutic interventions whereby RWE has positively contributed to addressing uncertainties in the evidence base, leading to better informed decision making.</w:t>
      </w:r>
      <w:r w:rsidR="00412A2C">
        <w:rPr>
          <w:rStyle w:val="FootnoteReference"/>
        </w:rPr>
        <w:footnoteReference w:id="20"/>
      </w:r>
    </w:p>
    <w:p w14:paraId="635D6271" w14:textId="2A79EFD2" w:rsidR="00A479BC" w:rsidRDefault="00A479BC" w:rsidP="002651FB">
      <w:pPr>
        <w:spacing w:after="0" w:line="240" w:lineRule="auto"/>
        <w:ind w:left="0"/>
        <w:jc w:val="left"/>
      </w:pPr>
    </w:p>
    <w:p w14:paraId="0B164A40" w14:textId="77777777" w:rsidR="00D73C8D" w:rsidRPr="00011630" w:rsidRDefault="00D73C8D" w:rsidP="002651FB">
      <w:pPr>
        <w:ind w:left="0"/>
      </w:pPr>
    </w:p>
    <w:p w14:paraId="794D7814" w14:textId="3AE3CDFE" w:rsidR="00A80D89" w:rsidRPr="00DE29AF" w:rsidRDefault="009E437E" w:rsidP="002651FB">
      <w:pPr>
        <w:pStyle w:val="Heading1"/>
        <w:ind w:left="0" w:firstLine="0"/>
        <w:rPr>
          <w:color w:val="385B88"/>
          <w:sz w:val="32"/>
        </w:rPr>
      </w:pPr>
      <w:r w:rsidRPr="00DE29AF">
        <w:rPr>
          <w:color w:val="385B88"/>
          <w:sz w:val="32"/>
        </w:rPr>
        <w:t>Necessary conditions</w:t>
      </w:r>
    </w:p>
    <w:p w14:paraId="1FD699AB" w14:textId="458F7E40" w:rsidR="00A80D89" w:rsidRPr="00011630" w:rsidRDefault="00AF03EF" w:rsidP="002651FB">
      <w:pPr>
        <w:spacing w:after="120"/>
        <w:ind w:left="0"/>
      </w:pPr>
      <w:r w:rsidRPr="00011630">
        <w:t xml:space="preserve">This process </w:t>
      </w:r>
      <w:r w:rsidR="00A80D89" w:rsidRPr="00011630">
        <w:t xml:space="preserve">can only work </w:t>
      </w:r>
      <w:r w:rsidRPr="00011630">
        <w:t xml:space="preserve">if certain </w:t>
      </w:r>
      <w:r w:rsidR="00CB2D46" w:rsidRPr="00011630">
        <w:t xml:space="preserve">conditions are </w:t>
      </w:r>
      <w:r w:rsidRPr="00011630">
        <w:t>put in place</w:t>
      </w:r>
      <w:r w:rsidR="00CB2D46" w:rsidRPr="00011630">
        <w:t xml:space="preserve">. </w:t>
      </w:r>
    </w:p>
    <w:p w14:paraId="24751FBF" w14:textId="2C6AF8B4" w:rsidR="00A80D89" w:rsidRPr="00011630" w:rsidRDefault="00A80D89" w:rsidP="002651FB">
      <w:pPr>
        <w:spacing w:after="120"/>
        <w:ind w:left="0"/>
      </w:pPr>
      <w:r w:rsidRPr="00011630">
        <w:t xml:space="preserve">It </w:t>
      </w:r>
      <w:r w:rsidR="00CB2D46" w:rsidRPr="00011630">
        <w:t>first of all</w:t>
      </w:r>
      <w:r w:rsidRPr="00011630">
        <w:t xml:space="preserve"> requires investing in data</w:t>
      </w:r>
      <w:r w:rsidR="0013142F" w:rsidRPr="00011630">
        <w:t xml:space="preserve"> generation</w:t>
      </w:r>
      <w:r w:rsidRPr="00011630">
        <w:t>. Consideration should be given to an EU fund</w:t>
      </w:r>
      <w:r w:rsidRPr="00011630">
        <w:rPr>
          <w:vertAlign w:val="superscript"/>
        </w:rPr>
        <w:footnoteReference w:id="21"/>
      </w:r>
      <w:r w:rsidRPr="00011630">
        <w:rPr>
          <w:vertAlign w:val="superscript"/>
        </w:rPr>
        <w:t xml:space="preserve"> </w:t>
      </w:r>
      <w:r w:rsidRPr="00011630">
        <w:t xml:space="preserve">for real-world data generation and supranational collection of data on rare or complex conditions. </w:t>
      </w:r>
      <w:r w:rsidR="00A3312C" w:rsidRPr="00011630">
        <w:t xml:space="preserve">The European Reference Networks seem to be the ideal vehicle for this purpose. </w:t>
      </w:r>
      <w:r w:rsidR="00980F49" w:rsidRPr="00011630">
        <w:t>Also,</w:t>
      </w:r>
      <w:r w:rsidR="00A3312C" w:rsidRPr="00011630">
        <w:t xml:space="preserve"> </w:t>
      </w:r>
      <w:r w:rsidRPr="00011630">
        <w:t xml:space="preserve">public private partnerships </w:t>
      </w:r>
      <w:r w:rsidR="00A3312C" w:rsidRPr="00011630">
        <w:t>may be</w:t>
      </w:r>
      <w:r w:rsidRPr="00011630">
        <w:t xml:space="preserve"> needed </w:t>
      </w:r>
      <w:r w:rsidR="00967F51" w:rsidRPr="00011630">
        <w:t xml:space="preserve">to sustain data collection with strong governance rules </w:t>
      </w:r>
      <w:r w:rsidRPr="00011630">
        <w:t xml:space="preserve">to define </w:t>
      </w:r>
      <w:r w:rsidR="009F4961">
        <w:t>custodianship</w:t>
      </w:r>
      <w:r w:rsidR="009F4961" w:rsidRPr="00011630">
        <w:t xml:space="preserve"> </w:t>
      </w:r>
      <w:r w:rsidRPr="00011630">
        <w:t xml:space="preserve">of and access to data, and to solve issues related to privacy and data integrity. </w:t>
      </w:r>
      <w:r w:rsidR="0013142F" w:rsidRPr="00011630">
        <w:t xml:space="preserve">This effort should not be underestimated as it </w:t>
      </w:r>
      <w:r w:rsidR="00BC6E54" w:rsidRPr="00011630">
        <w:t>requires</w:t>
      </w:r>
      <w:r w:rsidR="0013142F" w:rsidRPr="00011630">
        <w:t xml:space="preserve"> investments beyond the building of an infrastructure </w:t>
      </w:r>
      <w:r w:rsidR="00BC6E54" w:rsidRPr="00011630">
        <w:t>and consensus</w:t>
      </w:r>
      <w:r w:rsidR="0013142F" w:rsidRPr="00011630">
        <w:t xml:space="preserve"> on core data elements</w:t>
      </w:r>
      <w:r w:rsidR="005E1A35" w:rsidRPr="00011630">
        <w:t xml:space="preserve">, endpoints and standardization. </w:t>
      </w:r>
    </w:p>
    <w:p w14:paraId="5887BF2A" w14:textId="75A77723" w:rsidR="00A80D89" w:rsidRPr="00011630" w:rsidRDefault="00A80D89" w:rsidP="002651FB">
      <w:pPr>
        <w:spacing w:after="120"/>
        <w:ind w:left="0"/>
      </w:pPr>
      <w:r w:rsidRPr="00011630">
        <w:t xml:space="preserve">Moreover, </w:t>
      </w:r>
      <w:r w:rsidR="00A3312C" w:rsidRPr="00011630">
        <w:t>success of the tool</w:t>
      </w:r>
      <w:r w:rsidR="001E1D23" w:rsidRPr="00011630">
        <w:t xml:space="preserve"> requires an understanding that to generate evidence for HTA/payers </w:t>
      </w:r>
      <w:r w:rsidR="007B0FA6" w:rsidRPr="00011630">
        <w:t>the limitations of data sources and robust analyses are required, but that for some situations the optimal forms of analysis are not yet clear</w:t>
      </w:r>
      <w:r w:rsidR="005E1A35" w:rsidRPr="00011630">
        <w:t>.</w:t>
      </w:r>
      <w:r w:rsidRPr="00011630">
        <w:t xml:space="preserve"> There need</w:t>
      </w:r>
      <w:r w:rsidR="00335483" w:rsidRPr="00011630">
        <w:t>s</w:t>
      </w:r>
      <w:r w:rsidRPr="00011630">
        <w:t xml:space="preserve"> to be</w:t>
      </w:r>
      <w:r w:rsidR="00967F51" w:rsidRPr="00011630">
        <w:t xml:space="preserve"> an agreement between the different stakeholders on a specific protocol </w:t>
      </w:r>
      <w:r w:rsidRPr="00011630">
        <w:t xml:space="preserve">for data collection </w:t>
      </w:r>
      <w:r w:rsidR="00967F51" w:rsidRPr="00011630">
        <w:t xml:space="preserve">but also on </w:t>
      </w:r>
      <w:r w:rsidR="00BC6E54" w:rsidRPr="00011630">
        <w:t>the methods</w:t>
      </w:r>
      <w:r w:rsidRPr="00011630">
        <w:t xml:space="preserve"> </w:t>
      </w:r>
      <w:r w:rsidR="00967F51" w:rsidRPr="00011630">
        <w:t xml:space="preserve">used to </w:t>
      </w:r>
      <w:r w:rsidRPr="00011630">
        <w:t>interpret</w:t>
      </w:r>
      <w:r w:rsidR="00967F51" w:rsidRPr="00011630">
        <w:t xml:space="preserve"> the results </w:t>
      </w:r>
      <w:r w:rsidRPr="00011630">
        <w:t xml:space="preserve">to </w:t>
      </w:r>
      <w:r w:rsidR="00EB7A1E" w:rsidRPr="00011630">
        <w:t>assess</w:t>
      </w:r>
      <w:r w:rsidRPr="00011630">
        <w:t xml:space="preserve"> th</w:t>
      </w:r>
      <w:r w:rsidR="00686E0C" w:rsidRPr="00011630">
        <w:t>eir</w:t>
      </w:r>
      <w:r w:rsidRPr="00011630">
        <w:t xml:space="preserve"> quality</w:t>
      </w:r>
      <w:r w:rsidR="00967F51" w:rsidRPr="00011630">
        <w:t xml:space="preserve"> and acceptance by all partners</w:t>
      </w:r>
      <w:r w:rsidRPr="00011630">
        <w:t xml:space="preserve">.  </w:t>
      </w:r>
    </w:p>
    <w:p w14:paraId="07BB6EFC" w14:textId="02CAD612" w:rsidR="00A80D89" w:rsidRPr="00011630" w:rsidRDefault="00A80D89" w:rsidP="002651FB">
      <w:pPr>
        <w:spacing w:after="120"/>
        <w:ind w:left="0"/>
      </w:pPr>
      <w:r w:rsidRPr="00011630">
        <w:t>Finally, outcomes</w:t>
      </w:r>
      <w:r w:rsidR="000904BA" w:rsidRPr="00011630">
        <w:t>-</w:t>
      </w:r>
      <w:r w:rsidRPr="00011630">
        <w:t xml:space="preserve">based </w:t>
      </w:r>
      <w:r w:rsidR="0078186C" w:rsidRPr="00011630">
        <w:t>managed entry</w:t>
      </w:r>
      <w:r w:rsidRPr="00011630">
        <w:t xml:space="preserve"> agreements between industry and payers</w:t>
      </w:r>
      <w:r w:rsidR="000904BA" w:rsidRPr="00011630">
        <w:t xml:space="preserve"> may be needed, </w:t>
      </w:r>
      <w:r w:rsidRPr="00011630">
        <w:t>given the level of uncertainty at the time of launch</w:t>
      </w:r>
      <w:r w:rsidR="000904BA" w:rsidRPr="00011630">
        <w:t xml:space="preserve">. </w:t>
      </w:r>
      <w:r w:rsidRPr="00011630">
        <w:t xml:space="preserve"> </w:t>
      </w:r>
      <w:r w:rsidR="00D77125" w:rsidRPr="00011630">
        <w:t>These schemes</w:t>
      </w:r>
      <w:r w:rsidR="000904BA" w:rsidRPr="00011630">
        <w:t xml:space="preserve"> can include individual</w:t>
      </w:r>
      <w:r w:rsidR="009B76F0" w:rsidRPr="00011630">
        <w:t>-based</w:t>
      </w:r>
      <w:r w:rsidR="000904BA" w:rsidRPr="00011630">
        <w:t xml:space="preserve"> </w:t>
      </w:r>
      <w:r w:rsidR="009B76F0" w:rsidRPr="00011630">
        <w:t>or</w:t>
      </w:r>
      <w:r w:rsidR="000904BA" w:rsidRPr="00011630">
        <w:t xml:space="preserve"> population</w:t>
      </w:r>
      <w:r w:rsidR="009B76F0" w:rsidRPr="00011630">
        <w:t>-based performance linked reimbursement</w:t>
      </w:r>
      <w:r w:rsidR="000904BA" w:rsidRPr="00011630">
        <w:t xml:space="preserve"> schemes </w:t>
      </w:r>
      <w:r w:rsidR="009B76F0" w:rsidRPr="00011630">
        <w:t xml:space="preserve">with money pay back </w:t>
      </w:r>
      <w:r w:rsidR="00980F49" w:rsidRPr="00011630">
        <w:t>guarantee</w:t>
      </w:r>
      <w:r w:rsidR="009B76F0" w:rsidRPr="00011630">
        <w:t xml:space="preserve"> or coverage upon evidence development schemes, </w:t>
      </w:r>
      <w:r w:rsidR="00980F49" w:rsidRPr="00011630">
        <w:t>whereby the</w:t>
      </w:r>
      <w:r w:rsidR="009B76F0" w:rsidRPr="00011630">
        <w:t xml:space="preserve"> later reassessment leads to an adaptation </w:t>
      </w:r>
      <w:r w:rsidR="00980F49" w:rsidRPr="00011630">
        <w:t>of</w:t>
      </w:r>
      <w:r w:rsidR="009B76F0" w:rsidRPr="00011630">
        <w:t xml:space="preserve"> the reimbursement conditions</w:t>
      </w:r>
      <w:r w:rsidR="00286AD0" w:rsidRPr="00011630">
        <w:t xml:space="preserve">. </w:t>
      </w:r>
      <w:r w:rsidR="00FA57F5" w:rsidRPr="00011630">
        <w:t xml:space="preserve">To this effect, we </w:t>
      </w:r>
      <w:r w:rsidRPr="00011630">
        <w:t xml:space="preserve">refer to the document on </w:t>
      </w:r>
      <w:r w:rsidRPr="00011630">
        <w:rPr>
          <w:i/>
        </w:rPr>
        <w:t>Dynamic outcomes based approaches to pricing and reimbursement of innovative medicines</w:t>
      </w:r>
      <w:r w:rsidRPr="00011630">
        <w:t xml:space="preserve"> (Annemans &amp; Pani, February 2017)</w:t>
      </w:r>
      <w:r w:rsidR="000904BA" w:rsidRPr="00011630">
        <w:t xml:space="preserve">, but recognise that there remain concerns </w:t>
      </w:r>
      <w:r w:rsidR="00B15C6D" w:rsidRPr="00011630">
        <w:t xml:space="preserve">– such as administrative burden – </w:t>
      </w:r>
      <w:r w:rsidR="000904BA" w:rsidRPr="00011630">
        <w:t>about the feasibility of administering these schemes</w:t>
      </w:r>
      <w:r w:rsidRPr="00011630">
        <w:t>.</w:t>
      </w:r>
      <w:r w:rsidR="00A834A5">
        <w:t xml:space="preserve"> It is obvious that more investing in better health information systems that reduce administrative burden and improve health data quality is needed. </w:t>
      </w:r>
    </w:p>
    <w:p w14:paraId="5E065D86" w14:textId="09C7F5BE" w:rsidR="00350D96" w:rsidRDefault="009B76F0" w:rsidP="002651FB">
      <w:pPr>
        <w:spacing w:after="120"/>
        <w:ind w:left="0"/>
      </w:pPr>
      <w:r w:rsidRPr="00011630">
        <w:lastRenderedPageBreak/>
        <w:t xml:space="preserve">This tool </w:t>
      </w:r>
      <w:r w:rsidR="00350D96" w:rsidRPr="00011630">
        <w:t xml:space="preserve">should </w:t>
      </w:r>
      <w:r w:rsidR="00A3312C" w:rsidRPr="00011630">
        <w:t>lead to</w:t>
      </w:r>
      <w:r w:rsidR="00350D96" w:rsidRPr="00011630">
        <w:t xml:space="preserve"> </w:t>
      </w:r>
      <w:r w:rsidRPr="00011630">
        <w:t xml:space="preserve">more </w:t>
      </w:r>
      <w:r w:rsidR="00350D96" w:rsidRPr="00011630">
        <w:t>win-win solutions for all stakeholders involved i.e. allowing payers and policymakers to control expenditure and improve the life of patients, industry to reduce the time lag between marketing authorisation and access to treatment while generating real-world evidence</w:t>
      </w:r>
      <w:r w:rsidRPr="00011630">
        <w:t>,</w:t>
      </w:r>
      <w:r w:rsidR="00350D96" w:rsidRPr="00011630">
        <w:t xml:space="preserve"> and patients to have </w:t>
      </w:r>
      <w:r w:rsidR="00BC6E54" w:rsidRPr="00011630">
        <w:t>earlier</w:t>
      </w:r>
      <w:r w:rsidR="00350D96" w:rsidRPr="00011630">
        <w:t xml:space="preserve"> </w:t>
      </w:r>
      <w:r w:rsidR="00A3312C" w:rsidRPr="00011630">
        <w:t xml:space="preserve">and appropriate </w:t>
      </w:r>
      <w:r w:rsidR="00350D96" w:rsidRPr="00011630">
        <w:t xml:space="preserve">access to new </w:t>
      </w:r>
      <w:r w:rsidR="0008781A" w:rsidRPr="00011630">
        <w:t>treatment</w:t>
      </w:r>
      <w:r w:rsidR="00350D96" w:rsidRPr="00011630">
        <w:t>s.</w:t>
      </w:r>
    </w:p>
    <w:p w14:paraId="572B3763" w14:textId="77777777" w:rsidR="00FE6B74" w:rsidRPr="00011630" w:rsidRDefault="00FE6B74" w:rsidP="002651FB">
      <w:pPr>
        <w:spacing w:after="120"/>
        <w:ind w:left="0"/>
      </w:pPr>
    </w:p>
    <w:p w14:paraId="7079483E" w14:textId="77777777" w:rsidR="00EB7A1E" w:rsidRPr="00011630" w:rsidRDefault="00EB7A1E" w:rsidP="002651FB">
      <w:pPr>
        <w:spacing w:after="0" w:line="240" w:lineRule="auto"/>
        <w:ind w:left="0"/>
        <w:jc w:val="left"/>
      </w:pPr>
    </w:p>
    <w:p w14:paraId="4E5D6EE1" w14:textId="50281D32" w:rsidR="00EB7A1E" w:rsidRPr="00DE29AF" w:rsidRDefault="00EB7A1E" w:rsidP="002651FB">
      <w:pPr>
        <w:pStyle w:val="Heading1"/>
        <w:ind w:left="0" w:firstLine="0"/>
        <w:rPr>
          <w:color w:val="385B88"/>
          <w:sz w:val="32"/>
        </w:rPr>
      </w:pPr>
      <w:r w:rsidRPr="00DE29AF">
        <w:rPr>
          <w:color w:val="385B88"/>
          <w:sz w:val="32"/>
        </w:rPr>
        <w:t>Discussion</w:t>
      </w:r>
    </w:p>
    <w:p w14:paraId="63D9787A" w14:textId="1ED3CE89" w:rsidR="00525CB6" w:rsidRPr="00011630" w:rsidRDefault="00525CB6" w:rsidP="002651FB">
      <w:pPr>
        <w:spacing w:after="120"/>
        <w:ind w:left="0"/>
      </w:pPr>
      <w:r w:rsidRPr="00011630">
        <w:t xml:space="preserve">This paper presents guidance on defining uncertainties and evidence gaps in the assessment of value and value for money </w:t>
      </w:r>
      <w:r w:rsidR="00980F49" w:rsidRPr="00011630">
        <w:t>of specialised</w:t>
      </w:r>
      <w:r w:rsidRPr="00011630">
        <w:t xml:space="preserve"> treatments </w:t>
      </w:r>
      <w:r w:rsidR="00980F49" w:rsidRPr="00011630">
        <w:t>for rare</w:t>
      </w:r>
      <w:r w:rsidRPr="00011630">
        <w:t xml:space="preserve"> diseases. Additionally, the paper provides guidance on the potential of real-world evidence to help address such uncertainties. In brief, the guidance addresses the following aspects: the typology of evidence uncertainties, the importance of different uncertainties and the (real-world) evidence sources available to address such uncertainties</w:t>
      </w:r>
      <w:r w:rsidR="0078186C" w:rsidRPr="00011630">
        <w:t xml:space="preserve"> either before or after HTA submission</w:t>
      </w:r>
      <w:r w:rsidRPr="00011630">
        <w:t>. Importantly, this guidance is the result of multi-stakeholder, multi-round discussions thus combines the different perspectives of stakeholders involved in discussions and decision making on specialised treatments</w:t>
      </w:r>
      <w:r w:rsidR="00EE3F85">
        <w:t xml:space="preserve"> for rare diseases</w:t>
      </w:r>
      <w:r w:rsidRPr="00011630">
        <w:t>.</w:t>
      </w:r>
    </w:p>
    <w:p w14:paraId="28EFDE5A" w14:textId="3BC3CED3" w:rsidR="00525CB6" w:rsidRPr="00011630" w:rsidRDefault="00525CB6" w:rsidP="002651FB">
      <w:pPr>
        <w:spacing w:after="120"/>
        <w:ind w:left="0"/>
      </w:pPr>
      <w:r w:rsidRPr="00011630">
        <w:t>A number of the recommendations made within this guidance correlate well to work within ongoing initiatives. For example, the authors recommend early dialogue between manufacturers, regulatory authorities and HTA agencies on the nature of (real-world) evidence to be collected. Presently, work package 5a (WP5a) of the European network of HTA (EUnetHTA) is speci</w:t>
      </w:r>
      <w:r w:rsidR="0078186C" w:rsidRPr="00011630">
        <w:t xml:space="preserve">fically addressing this issue. </w:t>
      </w:r>
      <w:r w:rsidRPr="00011630">
        <w:t xml:space="preserve">Moreover, the authors advise to continue dialogue in the post-launch setting. </w:t>
      </w:r>
      <w:r w:rsidR="0078186C" w:rsidRPr="00011630">
        <w:t>W</w:t>
      </w:r>
      <w:r w:rsidRPr="00011630">
        <w:t xml:space="preserve">ork package 5b (WP5b) of EUnetHTA is addressing the issue of joint post-launch evidence generation (e.g. through patient registries) for HTA purposes. In fact, 2 pilot projects are ongoing within WP5b, of which one on </w:t>
      </w:r>
      <w:r w:rsidR="0078186C" w:rsidRPr="00011630">
        <w:t xml:space="preserve">a highly specialized treatment. </w:t>
      </w:r>
    </w:p>
    <w:p w14:paraId="1531EA1B" w14:textId="46DDD236" w:rsidR="00525CB6" w:rsidRDefault="00525CB6" w:rsidP="00787A1E">
      <w:pPr>
        <w:spacing w:after="120"/>
        <w:ind w:left="0"/>
      </w:pPr>
      <w:r w:rsidRPr="00011630">
        <w:t xml:space="preserve">In the previous section, we briefly refer to additional conditions necessary for advancing the generation of robust (real-world) evidence, including structural EU-wide collaboration on data collection, standardization of databases and data governance. We have also previously mentioned the suitability of the ERN as a vehicle for this. Another important initiative aiming to address similar issues is the Innovative Medicines Initiative (IMI-) European Health Data Network (EHDN). Over the next few years, the IMI-EHDN will strive to provide a harmonized data infrastructure model and pragmatic governance framework to accommodate cross-centre, cross-country </w:t>
      </w:r>
      <w:r w:rsidR="0078186C" w:rsidRPr="00011630">
        <w:t>analyses.</w:t>
      </w:r>
      <w:r w:rsidRPr="00011630">
        <w:t xml:space="preserve"> The outputs </w:t>
      </w:r>
      <w:r w:rsidRPr="00C065CD">
        <w:t>of such initiatives are critical to successful implementation of the guidance presented in this article.</w:t>
      </w:r>
      <w:r w:rsidR="00787A1E" w:rsidRPr="00C065CD">
        <w:t xml:space="preserve"> </w:t>
      </w:r>
      <w:r w:rsidR="00063E75" w:rsidRPr="00C065CD">
        <w:t>The principles put forward in the EMA adaptive pathways project</w:t>
      </w:r>
      <w:r w:rsidR="00063E75">
        <w:t xml:space="preserve"> </w:t>
      </w:r>
      <w:r w:rsidR="00063E75" w:rsidRPr="001D2164">
        <w:t>(aiming to facilitate best use of existing tools through multi</w:t>
      </w:r>
      <w:r w:rsidR="00063E75">
        <w:t>-</w:t>
      </w:r>
      <w:r w:rsidR="00063E75" w:rsidRPr="001D2164">
        <w:t>stakeholder dialogue, including patients),</w:t>
      </w:r>
      <w:r w:rsidR="00063E75" w:rsidRPr="00C065CD">
        <w:t xml:space="preserve"> the IMI-ADAPT SMART approach and the New Drug Paradigms (NEWDIGS) also show the important advances already made on this topic.</w:t>
      </w:r>
    </w:p>
    <w:p w14:paraId="2859CA3C" w14:textId="4E69319B" w:rsidR="00787A1E" w:rsidRPr="00011630" w:rsidRDefault="00787A1E" w:rsidP="00787A1E">
      <w:pPr>
        <w:spacing w:after="120"/>
        <w:ind w:left="0"/>
      </w:pPr>
    </w:p>
    <w:p w14:paraId="36EEC542" w14:textId="3CF88253" w:rsidR="00525CB6" w:rsidRPr="00011630" w:rsidRDefault="00787A1E" w:rsidP="002651FB">
      <w:pPr>
        <w:spacing w:after="120"/>
        <w:ind w:left="0"/>
      </w:pPr>
      <w:r>
        <w:t>Clearly</w:t>
      </w:r>
      <w:r w:rsidR="00525CB6" w:rsidRPr="00011630">
        <w:t xml:space="preserve">, </w:t>
      </w:r>
      <w:r w:rsidR="006827C3">
        <w:t xml:space="preserve">iterative discussions </w:t>
      </w:r>
      <w:r w:rsidR="00525CB6" w:rsidRPr="00011630">
        <w:t xml:space="preserve">between stakeholders and continuous evidence generation </w:t>
      </w:r>
      <w:r w:rsidR="006827C3">
        <w:t xml:space="preserve">support informed rational evidence generation. </w:t>
      </w:r>
    </w:p>
    <w:p w14:paraId="36193855" w14:textId="3EA719A3" w:rsidR="00E324BB" w:rsidRDefault="00525CB6" w:rsidP="002651FB">
      <w:pPr>
        <w:pBdr>
          <w:bottom w:val="single" w:sz="4" w:space="1" w:color="auto"/>
        </w:pBdr>
        <w:spacing w:after="120"/>
        <w:ind w:left="0"/>
      </w:pPr>
      <w:r w:rsidRPr="00011630">
        <w:t>In conclusion we encourage all stakeholders including manufacturers, clinicians, patients, regulatory- and HTA agencies and payers to make use of the guidance provided in this article as they proceed in developing evidence generation pathways on specialized treatments for complex or rare conditions. It is our hope that in doing so, authorization and reimbursement discussions on such treatments can be embedded in an evidence-rich context, thereby ensuring value to all parties, particularly to patients.</w:t>
      </w:r>
    </w:p>
    <w:p w14:paraId="722C7612" w14:textId="77777777" w:rsidR="00A36E0A" w:rsidRPr="00011630" w:rsidRDefault="00A36E0A" w:rsidP="002651FB">
      <w:pPr>
        <w:pBdr>
          <w:bottom w:val="single" w:sz="4" w:space="1" w:color="auto"/>
        </w:pBdr>
        <w:spacing w:after="120"/>
        <w:ind w:left="0"/>
      </w:pPr>
    </w:p>
    <w:p w14:paraId="3892736F" w14:textId="3375D229" w:rsidR="0078186C" w:rsidRPr="00011630" w:rsidRDefault="0078186C" w:rsidP="002651FB">
      <w:pPr>
        <w:pBdr>
          <w:bottom w:val="single" w:sz="4" w:space="1" w:color="auto"/>
        </w:pBdr>
        <w:ind w:left="0"/>
        <w:rPr>
          <w:rFonts w:eastAsia="Calibri" w:cs="Arial"/>
          <w:b/>
          <w:color w:val="2683C6" w:themeColor="accent2"/>
          <w:sz w:val="28"/>
        </w:rPr>
      </w:pPr>
      <w:r w:rsidRPr="00011630">
        <w:br w:type="page"/>
      </w:r>
    </w:p>
    <w:p w14:paraId="38FE953D" w14:textId="06AC0C01" w:rsidR="00E324BB" w:rsidRPr="00432B4A" w:rsidRDefault="00525578" w:rsidP="002651FB">
      <w:pPr>
        <w:pStyle w:val="Heading1"/>
        <w:numPr>
          <w:ilvl w:val="0"/>
          <w:numId w:val="0"/>
        </w:numPr>
        <w:rPr>
          <w:color w:val="385B88"/>
          <w:sz w:val="32"/>
        </w:rPr>
      </w:pPr>
      <w:r w:rsidRPr="00432B4A">
        <w:rPr>
          <w:color w:val="385B88"/>
          <w:sz w:val="32"/>
        </w:rPr>
        <w:lastRenderedPageBreak/>
        <w:t>Appendix</w:t>
      </w:r>
      <w:r w:rsidR="00E324BB" w:rsidRPr="00432B4A">
        <w:rPr>
          <w:color w:val="385B88"/>
          <w:sz w:val="32"/>
        </w:rPr>
        <w:t xml:space="preserve">: </w:t>
      </w:r>
      <w:r w:rsidR="00EE2FED" w:rsidRPr="00432B4A">
        <w:rPr>
          <w:color w:val="385B88"/>
          <w:sz w:val="32"/>
        </w:rPr>
        <w:t xml:space="preserve">examples </w:t>
      </w:r>
      <w:r w:rsidR="00E324BB" w:rsidRPr="00432B4A">
        <w:rPr>
          <w:color w:val="385B88"/>
          <w:sz w:val="32"/>
        </w:rPr>
        <w:t>of ISSUES and SOLUTIONS</w:t>
      </w:r>
    </w:p>
    <w:p w14:paraId="19B01E54" w14:textId="4D4FA50A" w:rsidR="00E324BB" w:rsidRPr="008F1D5D" w:rsidRDefault="00E324BB" w:rsidP="002651FB">
      <w:pPr>
        <w:ind w:left="0"/>
        <w:rPr>
          <w:b/>
          <w:color w:val="61C2D0"/>
        </w:rPr>
      </w:pPr>
      <w:r w:rsidRPr="008F1D5D">
        <w:rPr>
          <w:b/>
          <w:color w:val="61C2D0"/>
        </w:rPr>
        <w:t>Pre-</w:t>
      </w:r>
      <w:r w:rsidR="00482B56" w:rsidRPr="008F1D5D">
        <w:rPr>
          <w:b/>
          <w:color w:val="61C2D0"/>
        </w:rPr>
        <w:t xml:space="preserve"> confirmatory </w:t>
      </w:r>
      <w:r w:rsidRPr="008F1D5D">
        <w:rPr>
          <w:b/>
          <w:color w:val="61C2D0"/>
        </w:rPr>
        <w:t>trial</w:t>
      </w:r>
    </w:p>
    <w:p w14:paraId="148835D7" w14:textId="003DB25F" w:rsidR="00E324BB" w:rsidRPr="00DE29AF" w:rsidRDefault="00482B56" w:rsidP="002651FB">
      <w:pPr>
        <w:ind w:left="0"/>
      </w:pPr>
      <w:r w:rsidRPr="00DE29AF">
        <w:sym w:font="Wingdings" w:char="F081"/>
      </w:r>
      <w:r w:rsidRPr="00DE29AF">
        <w:t xml:space="preserve"> No comparative evidence yet on the new therapy </w:t>
      </w:r>
      <w:r w:rsidRPr="00DE29AF">
        <w:sym w:font="Wingdings" w:char="F082"/>
      </w:r>
      <w:r w:rsidRPr="00DE29AF">
        <w:t xml:space="preserve"> Proposal for conducting an RCT. </w:t>
      </w:r>
      <w:r w:rsidRPr="00DE29AF">
        <w:sym w:font="Wingdings" w:char="F083"/>
      </w:r>
      <w:r w:rsidRPr="00DE29AF">
        <w:t xml:space="preserve"> </w:t>
      </w:r>
      <w:r w:rsidR="00E324BB" w:rsidRPr="00DE29AF">
        <w:t xml:space="preserve">Randomisation is not possible (argumentation needs to be offered) </w:t>
      </w:r>
      <w:r w:rsidR="00E324BB" w:rsidRPr="00DE29AF">
        <w:sym w:font="Wingdings" w:char="F0E0"/>
      </w:r>
      <w:r w:rsidR="00E324BB" w:rsidRPr="00DE29AF">
        <w:t xml:space="preserve"> </w:t>
      </w:r>
      <w:r w:rsidRPr="00DE29AF">
        <w:sym w:font="Wingdings" w:char="F084"/>
      </w:r>
      <w:r w:rsidRPr="00DE29AF">
        <w:t xml:space="preserve"> </w:t>
      </w:r>
      <w:r w:rsidR="00E324BB" w:rsidRPr="00DE29AF">
        <w:t>a solution might be to design a single arm study and compare the results with matched historical controls.</w:t>
      </w:r>
    </w:p>
    <w:p w14:paraId="48862ADC" w14:textId="60F94ABE" w:rsidR="00E324BB" w:rsidRPr="00DE29AF" w:rsidRDefault="00B03DB0" w:rsidP="002651FB">
      <w:pPr>
        <w:ind w:left="0"/>
      </w:pPr>
      <w:r w:rsidRPr="00DE29AF">
        <w:sym w:font="Wingdings" w:char="F081"/>
      </w:r>
      <w:r w:rsidRPr="00DE29AF">
        <w:t xml:space="preserve"> It is anticipated that there will be no long term data about the new therapy. </w:t>
      </w:r>
      <w:r w:rsidRPr="00DE29AF">
        <w:sym w:font="Wingdings" w:char="F082"/>
      </w:r>
      <w:r w:rsidRPr="00DE29AF">
        <w:t xml:space="preserve"> Proposal for collecting data on an intermediate endpoint. </w:t>
      </w:r>
      <w:r w:rsidR="00482B56" w:rsidRPr="00DE29AF">
        <w:sym w:font="Wingdings" w:char="F083"/>
      </w:r>
      <w:r w:rsidRPr="00DE29AF">
        <w:t xml:space="preserve"> there is no good evidence on the </w:t>
      </w:r>
      <w:r w:rsidR="009028F1" w:rsidRPr="00DE29AF">
        <w:t>relationship</w:t>
      </w:r>
      <w:r w:rsidRPr="00DE29AF">
        <w:t xml:space="preserve"> between the intermediate endpoint and the long term clinically relevant endpoint </w:t>
      </w:r>
      <w:r w:rsidRPr="00DE29AF">
        <w:sym w:font="Wingdings" w:char="F0E0"/>
      </w:r>
      <w:r w:rsidRPr="00DE29AF">
        <w:t xml:space="preserve"> </w:t>
      </w:r>
      <w:r w:rsidRPr="00DE29AF">
        <w:sym w:font="Wingdings" w:char="F084"/>
      </w:r>
      <w:r w:rsidRPr="00DE29AF">
        <w:t xml:space="preserve"> a solution might be to undertake p</w:t>
      </w:r>
      <w:r w:rsidR="00E324BB" w:rsidRPr="00DE29AF">
        <w:t xml:space="preserve">arallel research </w:t>
      </w:r>
      <w:r w:rsidRPr="00DE29AF">
        <w:t xml:space="preserve">on the disease and its current therapy </w:t>
      </w:r>
      <w:r w:rsidR="00E324BB" w:rsidRPr="00DE29AF">
        <w:t>to better understand the relationship between intermediate endpoint(s)/biomarkers and clinical endpoint</w:t>
      </w:r>
    </w:p>
    <w:p w14:paraId="56B539F5" w14:textId="69A62DE7" w:rsidR="00525578" w:rsidRPr="00DE29AF" w:rsidRDefault="00525578" w:rsidP="002651FB">
      <w:pPr>
        <w:ind w:left="0"/>
      </w:pPr>
      <w:r w:rsidRPr="00DE29AF">
        <w:sym w:font="Wingdings" w:char="F081"/>
      </w:r>
      <w:r w:rsidRPr="00DE29AF">
        <w:t xml:space="preserve"> There is an anticipated gap regarding long term evidence of the new treatment. </w:t>
      </w:r>
      <w:r w:rsidRPr="00DE29AF">
        <w:sym w:font="Wingdings" w:char="F082"/>
      </w:r>
      <w:r w:rsidRPr="00DE29AF">
        <w:t xml:space="preserve"> Proposal to plan follow up of trial patients. </w:t>
      </w:r>
      <w:r w:rsidRPr="00DE29AF">
        <w:sym w:font="Wingdings" w:char="F083"/>
      </w:r>
      <w:r w:rsidRPr="00DE29AF">
        <w:t xml:space="preserve"> This will lead to more information about the sustainability of the effect, but it will still be based on a trial-population </w:t>
      </w:r>
      <w:r w:rsidRPr="00DE29AF">
        <w:sym w:font="Wingdings" w:char="F0E0"/>
      </w:r>
      <w:r w:rsidRPr="00DE29AF">
        <w:sym w:font="Wingdings" w:char="F084"/>
      </w:r>
      <w:r w:rsidRPr="00DE29AF">
        <w:t xml:space="preserve"> a solution might be to timely plan to include patients treated post launch in routine practice in a – preferably existing – registry and observe </w:t>
      </w:r>
      <w:r w:rsidR="00843743">
        <w:t>real-world</w:t>
      </w:r>
      <w:r w:rsidRPr="00DE29AF">
        <w:t xml:space="preserve"> long term follow up outcomes. </w:t>
      </w:r>
    </w:p>
    <w:p w14:paraId="5E2704C6" w14:textId="7951E54F" w:rsidR="00E324BB" w:rsidRPr="00DE29AF" w:rsidRDefault="00B03DB0" w:rsidP="002651FB">
      <w:pPr>
        <w:ind w:left="0"/>
      </w:pPr>
      <w:r w:rsidRPr="00DE29AF">
        <w:sym w:font="Wingdings" w:char="F081"/>
      </w:r>
      <w:r w:rsidRPr="00DE29AF">
        <w:t xml:space="preserve"> </w:t>
      </w:r>
      <w:r w:rsidR="00E324BB" w:rsidRPr="00DE29AF">
        <w:t xml:space="preserve">the unmet need in terms of quality </w:t>
      </w:r>
      <w:r w:rsidRPr="00DE29AF">
        <w:t xml:space="preserve">of life of patients is unclear. </w:t>
      </w:r>
      <w:r w:rsidRPr="00DE29AF">
        <w:sym w:font="Wingdings" w:char="F082"/>
      </w:r>
      <w:r w:rsidRPr="00DE29AF">
        <w:t xml:space="preserve"> Proposal to collect baseline data on QoL in the trial. </w:t>
      </w:r>
      <w:r w:rsidRPr="00DE29AF">
        <w:sym w:font="Wingdings" w:char="F083"/>
      </w:r>
      <w:r w:rsidRPr="00DE29AF">
        <w:t xml:space="preserve">  </w:t>
      </w:r>
      <w:r w:rsidR="00E324BB" w:rsidRPr="00DE29AF">
        <w:t xml:space="preserve">there is concern about patient selection for the trial </w:t>
      </w:r>
      <w:r w:rsidR="00E324BB" w:rsidRPr="00DE29AF">
        <w:sym w:font="Wingdings" w:char="F0E0"/>
      </w:r>
      <w:r w:rsidR="00E324BB" w:rsidRPr="00DE29AF">
        <w:t xml:space="preserve"> </w:t>
      </w:r>
      <w:r w:rsidRPr="00DE29AF">
        <w:sym w:font="Wingdings" w:char="F084"/>
      </w:r>
      <w:r w:rsidRPr="00DE29AF">
        <w:t xml:space="preserve"> </w:t>
      </w:r>
      <w:r w:rsidR="00E324BB" w:rsidRPr="00DE29AF">
        <w:t>a solution might be to assess QoL in all patients per centre, whether or not participating in the trial</w:t>
      </w:r>
    </w:p>
    <w:p w14:paraId="19EF0B61" w14:textId="525EFFA8" w:rsidR="00E324BB" w:rsidRPr="00DE29AF" w:rsidRDefault="00B03DB0" w:rsidP="002651FB">
      <w:pPr>
        <w:ind w:left="0"/>
      </w:pPr>
      <w:r w:rsidRPr="00DE29AF">
        <w:sym w:font="Wingdings" w:char="F081"/>
      </w:r>
      <w:r w:rsidRPr="00DE29AF">
        <w:t xml:space="preserve"> </w:t>
      </w:r>
      <w:r w:rsidR="00E324BB" w:rsidRPr="00DE29AF">
        <w:t xml:space="preserve">for ethical reasons </w:t>
      </w:r>
      <w:r w:rsidRPr="00DE29AF">
        <w:t xml:space="preserve">a </w:t>
      </w:r>
      <w:r w:rsidR="00781854" w:rsidRPr="00DE29AF">
        <w:t xml:space="preserve">traditional </w:t>
      </w:r>
      <w:r w:rsidRPr="00DE29AF">
        <w:t xml:space="preserve">RCT </w:t>
      </w:r>
      <w:r w:rsidR="00781854" w:rsidRPr="00DE29AF">
        <w:t xml:space="preserve">is not possible. </w:t>
      </w:r>
      <w:r w:rsidR="00781854" w:rsidRPr="00DE29AF">
        <w:sym w:font="Wingdings" w:char="F082"/>
      </w:r>
      <w:r w:rsidR="00781854" w:rsidRPr="00DE29AF">
        <w:t xml:space="preserve"> A ‘delayed start’ or </w:t>
      </w:r>
      <w:r w:rsidR="00E324BB" w:rsidRPr="00DE29AF">
        <w:t xml:space="preserve">cross-over </w:t>
      </w:r>
      <w:r w:rsidR="00781854" w:rsidRPr="00DE29AF">
        <w:t>design is proposed</w:t>
      </w:r>
      <w:r w:rsidR="00E324BB" w:rsidRPr="00DE29AF">
        <w:t xml:space="preserve">; </w:t>
      </w:r>
      <w:r w:rsidR="00781854" w:rsidRPr="00DE29AF">
        <w:sym w:font="Wingdings" w:char="F083"/>
      </w:r>
      <w:r w:rsidR="00781854" w:rsidRPr="00DE29AF">
        <w:t xml:space="preserve"> this means that</w:t>
      </w:r>
      <w:r w:rsidR="00E324BB" w:rsidRPr="00DE29AF">
        <w:t xml:space="preserve"> at the end of the trial, all patients will be </w:t>
      </w:r>
      <w:r w:rsidR="00BC6E54" w:rsidRPr="00DE29AF">
        <w:t>treated</w:t>
      </w:r>
      <w:r w:rsidR="00E324BB" w:rsidRPr="00DE29AF">
        <w:t xml:space="preserve"> with the new </w:t>
      </w:r>
      <w:r w:rsidR="0008781A" w:rsidRPr="00DE29AF">
        <w:t>treatment</w:t>
      </w:r>
      <w:r w:rsidR="00E324BB" w:rsidRPr="00DE29AF">
        <w:t xml:space="preserve">.  </w:t>
      </w:r>
      <w:r w:rsidR="00E324BB" w:rsidRPr="00DE29AF">
        <w:sym w:font="Wingdings" w:char="F0E0"/>
      </w:r>
      <w:r w:rsidR="00E324BB" w:rsidRPr="00DE29AF">
        <w:t xml:space="preserve"> </w:t>
      </w:r>
      <w:r w:rsidRPr="00DE29AF">
        <w:sym w:font="Wingdings" w:char="F084"/>
      </w:r>
      <w:r w:rsidRPr="00DE29AF">
        <w:t xml:space="preserve"> </w:t>
      </w:r>
      <w:r w:rsidR="00E324BB" w:rsidRPr="00DE29AF">
        <w:t xml:space="preserve">a solution might be to compare outcomes of the ‘early starters’ and the ‘delayed starters’ with a matched historical cohort. </w:t>
      </w:r>
    </w:p>
    <w:p w14:paraId="02944DDA" w14:textId="4BFDB18D" w:rsidR="00E324BB" w:rsidRPr="008F1D5D" w:rsidRDefault="00E324BB" w:rsidP="002651FB">
      <w:pPr>
        <w:ind w:left="0"/>
        <w:rPr>
          <w:b/>
          <w:color w:val="61C2D0"/>
        </w:rPr>
      </w:pPr>
      <w:r w:rsidRPr="008F1D5D">
        <w:rPr>
          <w:b/>
          <w:color w:val="61C2D0"/>
        </w:rPr>
        <w:t>Pre-HTA</w:t>
      </w:r>
      <w:r w:rsidR="00482B56" w:rsidRPr="008F1D5D">
        <w:rPr>
          <w:b/>
          <w:color w:val="61C2D0"/>
        </w:rPr>
        <w:t>, after confirmatory trial</w:t>
      </w:r>
    </w:p>
    <w:p w14:paraId="32131573" w14:textId="65F3A675" w:rsidR="00EE2FED" w:rsidRPr="00DE29AF" w:rsidRDefault="00EE2FED" w:rsidP="002651FB">
      <w:pPr>
        <w:ind w:left="0"/>
      </w:pPr>
      <w:r w:rsidRPr="00DE29AF">
        <w:sym w:font="Wingdings" w:char="F081"/>
      </w:r>
      <w:r w:rsidRPr="00DE29AF">
        <w:t xml:space="preserve"> By the time of submission, there will still be uncertainty about the relationship between the effect on a surrogate outcome and the effect on a clinically relevant outcome (e.g. respectively response rate and survival)  </w:t>
      </w:r>
      <w:r w:rsidRPr="00DE29AF">
        <w:sym w:font="Wingdings" w:char="F082"/>
      </w:r>
      <w:r w:rsidRPr="00DE29AF">
        <w:t xml:space="preserve"> There has been a ‘historical’ correlation shown between the planned surrogate outcome and the clinically relevant outcome, but that was with current standard of care. </w:t>
      </w:r>
      <w:r w:rsidRPr="00DE29AF">
        <w:sym w:font="Wingdings" w:char="F083"/>
      </w:r>
      <w:r w:rsidRPr="00DE29AF">
        <w:t xml:space="preserve"> However, it is likely that this relationship may not be the same for the new treatment </w:t>
      </w:r>
      <w:r w:rsidRPr="00DE29AF">
        <w:sym w:font="Wingdings" w:char="F0E0"/>
      </w:r>
      <w:r w:rsidRPr="00DE29AF">
        <w:t xml:space="preserve"> </w:t>
      </w:r>
      <w:r w:rsidRPr="00DE29AF">
        <w:sym w:font="Wingdings" w:char="F084"/>
      </w:r>
      <w:r w:rsidRPr="00DE29AF">
        <w:t xml:space="preserve"> a solution is to accept the historical correlation in the simulations for HTA submission and to explore the new relationship in a registry post launch.</w:t>
      </w:r>
    </w:p>
    <w:p w14:paraId="5CAB8E7E" w14:textId="4918B47A" w:rsidR="00E324BB" w:rsidRPr="00DE29AF" w:rsidRDefault="00781854" w:rsidP="002651FB">
      <w:pPr>
        <w:ind w:left="0"/>
      </w:pPr>
      <w:r w:rsidRPr="00DE29AF">
        <w:sym w:font="Wingdings" w:char="F081"/>
      </w:r>
      <w:r w:rsidRPr="00DE29AF">
        <w:t xml:space="preserve"> By the time of </w:t>
      </w:r>
      <w:r w:rsidR="00FC26D1" w:rsidRPr="00DE29AF">
        <w:t>submission,</w:t>
      </w:r>
      <w:r w:rsidRPr="00DE29AF">
        <w:t xml:space="preserve"> </w:t>
      </w:r>
      <w:r w:rsidR="00E324BB" w:rsidRPr="00DE29AF">
        <w:t>the number of expected recurrences is uncertain but anticipated to be very low</w:t>
      </w:r>
      <w:r w:rsidRPr="00DE29AF">
        <w:t xml:space="preserve">. </w:t>
      </w:r>
      <w:r w:rsidRPr="00DE29AF">
        <w:sym w:font="Wingdings" w:char="F082"/>
      </w:r>
      <w:r w:rsidRPr="00DE29AF">
        <w:t xml:space="preserve"> it was proposed to follow up recurrences further on in the trial</w:t>
      </w:r>
      <w:r w:rsidR="00E324BB" w:rsidRPr="00DE29AF">
        <w:t xml:space="preserve"> </w:t>
      </w:r>
      <w:r w:rsidRPr="00DE29AF">
        <w:lastRenderedPageBreak/>
        <w:sym w:font="Wingdings" w:char="F083"/>
      </w:r>
      <w:r w:rsidRPr="00DE29AF">
        <w:t xml:space="preserve"> the sample size of the trial is too small for this purpose </w:t>
      </w:r>
      <w:r w:rsidR="00E324BB" w:rsidRPr="00DE29AF">
        <w:sym w:font="Wingdings" w:char="F0E0"/>
      </w:r>
      <w:r w:rsidRPr="00DE29AF">
        <w:t xml:space="preserve"> </w:t>
      </w:r>
      <w:r w:rsidRPr="00DE29AF">
        <w:sym w:font="Wingdings" w:char="F084"/>
      </w:r>
      <w:r w:rsidR="00E324BB" w:rsidRPr="00DE29AF">
        <w:t xml:space="preserve"> a solution might be to apply an existing claims database allowing to follow up all patients in real life. This could be combined with an outcomes guarantee contract.  </w:t>
      </w:r>
    </w:p>
    <w:sectPr w:rsidR="00E324BB" w:rsidRPr="00DE29AF" w:rsidSect="007253BB">
      <w:headerReference w:type="default" r:id="rId12"/>
      <w:footerReference w:type="even" r:id="rId13"/>
      <w:footerReference w:type="default" r:id="rId14"/>
      <w:headerReference w:type="first" r:id="rId15"/>
      <w:pgSz w:w="11906" w:h="16838" w:code="9"/>
      <w:pgMar w:top="1418" w:right="1134" w:bottom="567"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96F95" w14:textId="77777777" w:rsidR="00B1543C" w:rsidRDefault="00B1543C">
      <w:r>
        <w:separator/>
      </w:r>
    </w:p>
    <w:p w14:paraId="30FA70C9" w14:textId="77777777" w:rsidR="00B1543C" w:rsidRDefault="00B1543C"/>
  </w:endnote>
  <w:endnote w:type="continuationSeparator" w:id="0">
    <w:p w14:paraId="41598F36" w14:textId="77777777" w:rsidR="00B1543C" w:rsidRDefault="00B1543C">
      <w:r>
        <w:continuationSeparator/>
      </w:r>
    </w:p>
    <w:p w14:paraId="23D7D4A6" w14:textId="77777777" w:rsidR="00B1543C" w:rsidRDefault="00B15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650B" w14:textId="77777777" w:rsidR="00843743" w:rsidRDefault="00843743" w:rsidP="007451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1A4DFC" w14:textId="77777777" w:rsidR="00843743" w:rsidRDefault="00843743" w:rsidP="0074514B">
    <w:pPr>
      <w:pStyle w:val="Footer"/>
      <w:ind w:right="360"/>
    </w:pPr>
  </w:p>
  <w:p w14:paraId="422E811B" w14:textId="77777777" w:rsidR="00843743" w:rsidRDefault="008437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3EA7" w14:textId="77777777" w:rsidR="00843743" w:rsidRDefault="00843743" w:rsidP="0019488F">
    <w:pPr>
      <w:pStyle w:val="NoSpace"/>
      <w:rPr>
        <w:sz w:val="18"/>
      </w:rPr>
    </w:pPr>
  </w:p>
  <w:p w14:paraId="758389F2" w14:textId="77777777" w:rsidR="00843743" w:rsidRPr="0019488F" w:rsidRDefault="00843743" w:rsidP="0019488F">
    <w:pPr>
      <w:pStyle w:val="NoSpace"/>
      <w:rPr>
        <w:sz w:val="18"/>
      </w:rPr>
    </w:pPr>
  </w:p>
  <w:p w14:paraId="524FFDBA" w14:textId="4F29B8D7" w:rsidR="00843743" w:rsidRPr="0019488F" w:rsidRDefault="00843743" w:rsidP="0019488F">
    <w:pPr>
      <w:pStyle w:val="Footer"/>
      <w:jc w:val="center"/>
      <w:rPr>
        <w:color w:val="5F697F"/>
        <w:sz w:val="18"/>
      </w:rPr>
    </w:pPr>
    <w:r w:rsidRPr="0019488F">
      <w:rPr>
        <w:color w:val="5F697F"/>
        <w:sz w:val="18"/>
      </w:rPr>
      <w:fldChar w:fldCharType="begin"/>
    </w:r>
    <w:r w:rsidRPr="0019488F">
      <w:rPr>
        <w:color w:val="5F697F"/>
        <w:sz w:val="18"/>
      </w:rPr>
      <w:instrText xml:space="preserve"> PAGE   \* MERGEFORMAT </w:instrText>
    </w:r>
    <w:r w:rsidRPr="0019488F">
      <w:rPr>
        <w:color w:val="5F697F"/>
        <w:sz w:val="18"/>
      </w:rPr>
      <w:fldChar w:fldCharType="separate"/>
    </w:r>
    <w:r w:rsidR="00F11B5E" w:rsidRPr="00F11B5E">
      <w:rPr>
        <w:noProof/>
        <w:color w:val="5F697F"/>
      </w:rPr>
      <w:t>18</w:t>
    </w:r>
    <w:r w:rsidRPr="0019488F">
      <w:rPr>
        <w:noProof/>
        <w:color w:val="5F697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32ED9" w14:textId="77777777" w:rsidR="00B1543C" w:rsidRPr="005F232F" w:rsidRDefault="00B1543C" w:rsidP="005F232F">
      <w:pPr>
        <w:pStyle w:val="Footer"/>
        <w:spacing w:after="0" w:line="240" w:lineRule="auto"/>
      </w:pPr>
    </w:p>
  </w:footnote>
  <w:footnote w:type="continuationSeparator" w:id="0">
    <w:p w14:paraId="16C1333C" w14:textId="77777777" w:rsidR="00B1543C" w:rsidRDefault="00B1543C">
      <w:r>
        <w:continuationSeparator/>
      </w:r>
    </w:p>
    <w:p w14:paraId="0CD74E61" w14:textId="77777777" w:rsidR="00B1543C" w:rsidRDefault="00B1543C"/>
  </w:footnote>
  <w:footnote w:id="1">
    <w:p w14:paraId="124D13D6" w14:textId="4CB8D4D5" w:rsidR="00C13395" w:rsidRPr="00C13395" w:rsidRDefault="00C13395">
      <w:pPr>
        <w:pStyle w:val="FootnoteText"/>
        <w:rPr>
          <w:lang w:val="en-US"/>
        </w:rPr>
      </w:pPr>
      <w:r>
        <w:rPr>
          <w:rStyle w:val="FootnoteReference"/>
        </w:rPr>
        <w:footnoteRef/>
      </w:r>
      <w:r>
        <w:t xml:space="preserve"> </w:t>
      </w:r>
      <w:r w:rsidRPr="00C13395">
        <w:t>The views expressed in this article are the personal views of the EMA contributor and may not be understood or quoted as being made on behalf of or reflecting the position of the Agency; furthermore, no costs or expenses of the contributor were borne by industry in contributing to this article.</w:t>
      </w:r>
    </w:p>
  </w:footnote>
  <w:footnote w:id="2">
    <w:p w14:paraId="5A5E24EA" w14:textId="495CB7F6" w:rsidR="00843743" w:rsidRPr="002B2145" w:rsidRDefault="00843743" w:rsidP="002651FB">
      <w:pPr>
        <w:pStyle w:val="FootnoteText"/>
        <w:ind w:left="0"/>
        <w:rPr>
          <w:lang w:val="nl-NL"/>
        </w:rPr>
      </w:pPr>
      <w:r>
        <w:rPr>
          <w:rStyle w:val="FootnoteReference"/>
        </w:rPr>
        <w:footnoteRef/>
      </w:r>
      <w:r w:rsidRPr="002B2145">
        <w:t>https://ec.europa.eu/health//sites/health/files/files/eudralex/vol-1/reg_2007_1394/reg_2007_1394_en.pdf</w:t>
      </w:r>
    </w:p>
  </w:footnote>
  <w:footnote w:id="3">
    <w:p w14:paraId="0D58BD2E" w14:textId="14151C5E" w:rsidR="00843743" w:rsidRPr="00196200" w:rsidRDefault="00843743" w:rsidP="002651FB">
      <w:pPr>
        <w:spacing w:after="0" w:line="240" w:lineRule="auto"/>
        <w:ind w:left="0"/>
        <w:rPr>
          <w:sz w:val="22"/>
          <w:szCs w:val="22"/>
          <w:vertAlign w:val="superscript"/>
        </w:rPr>
      </w:pPr>
      <w:r w:rsidRPr="00196200">
        <w:rPr>
          <w:rStyle w:val="FootnoteReference"/>
          <w:rFonts w:cs="Arial"/>
          <w:sz w:val="22"/>
          <w:szCs w:val="22"/>
        </w:rPr>
        <w:footnoteRef/>
      </w:r>
      <w:r w:rsidRPr="00196200">
        <w:rPr>
          <w:rStyle w:val="FootnoteReference"/>
          <w:sz w:val="22"/>
          <w:szCs w:val="22"/>
        </w:rPr>
        <w:t xml:space="preserve"> Davis C, Naci H, Gurpinar E, Poplavska E, Pinto A, Aggarwal A. Availability of evidence of benefits on overall survival and quality of li</w:t>
      </w:r>
      <w:r w:rsidRPr="00196200">
        <w:rPr>
          <w:sz w:val="22"/>
          <w:szCs w:val="22"/>
        </w:rPr>
        <w:t>f</w:t>
      </w:r>
      <w:r w:rsidRPr="00196200">
        <w:rPr>
          <w:rStyle w:val="FootnoteReference"/>
          <w:sz w:val="22"/>
          <w:szCs w:val="22"/>
        </w:rPr>
        <w:t>e of cancer drugs approved by European Medicines Agency: retrospective cohort study of drug approvals 2009-2013. British Medical Journal 2017;359:j4530</w:t>
      </w:r>
    </w:p>
  </w:footnote>
  <w:footnote w:id="4">
    <w:p w14:paraId="7EF6FEE2" w14:textId="43A787F9" w:rsidR="00843743" w:rsidRPr="00196200" w:rsidRDefault="00843743" w:rsidP="002651FB">
      <w:pPr>
        <w:spacing w:after="0" w:line="240" w:lineRule="auto"/>
        <w:ind w:left="0"/>
        <w:rPr>
          <w:rStyle w:val="FootnoteReference"/>
          <w:sz w:val="22"/>
          <w:szCs w:val="22"/>
        </w:rPr>
      </w:pPr>
      <w:r w:rsidRPr="00196200">
        <w:rPr>
          <w:rStyle w:val="FootnoteReference"/>
          <w:rFonts w:cs="Arial"/>
          <w:sz w:val="22"/>
          <w:szCs w:val="22"/>
        </w:rPr>
        <w:footnoteRef/>
      </w:r>
      <w:r w:rsidRPr="00196200">
        <w:rPr>
          <w:rStyle w:val="FootnoteReference"/>
          <w:sz w:val="22"/>
          <w:szCs w:val="22"/>
        </w:rPr>
        <w:t xml:space="preserve"> The EMA has launched </w:t>
      </w:r>
      <w:hyperlink r:id="rId1" w:history="1">
        <w:r w:rsidRPr="00196200">
          <w:rPr>
            <w:rStyle w:val="FootnoteReference"/>
            <w:sz w:val="22"/>
            <w:szCs w:val="22"/>
          </w:rPr>
          <w:t>PRIME</w:t>
        </w:r>
      </w:hyperlink>
      <w:r w:rsidRPr="00196200">
        <w:rPr>
          <w:rStyle w:val="FootnoteReference"/>
          <w:sz w:val="22"/>
          <w:szCs w:val="22"/>
        </w:rPr>
        <w:t xml:space="preserve">, </w:t>
      </w:r>
      <w:hyperlink r:id="rId2" w:history="1">
        <w:r w:rsidRPr="00196200">
          <w:rPr>
            <w:rStyle w:val="FootnoteReference"/>
            <w:sz w:val="22"/>
            <w:szCs w:val="22"/>
          </w:rPr>
          <w:t>Adaptive Pathways</w:t>
        </w:r>
      </w:hyperlink>
      <w:r w:rsidRPr="00196200">
        <w:rPr>
          <w:rStyle w:val="FootnoteReference"/>
          <w:sz w:val="22"/>
          <w:szCs w:val="22"/>
        </w:rPr>
        <w:t xml:space="preserve">, </w:t>
      </w:r>
      <w:hyperlink r:id="rId3" w:history="1">
        <w:r w:rsidRPr="00196200">
          <w:rPr>
            <w:rStyle w:val="FootnoteReference"/>
            <w:sz w:val="22"/>
            <w:szCs w:val="22"/>
          </w:rPr>
          <w:t>Guidance on the Scientific application of conditional marketing authorisation for medicinal products</w:t>
        </w:r>
      </w:hyperlink>
      <w:r w:rsidRPr="00196200">
        <w:rPr>
          <w:rStyle w:val="FootnoteReference"/>
          <w:sz w:val="22"/>
          <w:szCs w:val="22"/>
        </w:rPr>
        <w:t xml:space="preserve">, </w:t>
      </w:r>
      <w:hyperlink r:id="rId4" w:history="1">
        <w:r w:rsidRPr="00196200">
          <w:rPr>
            <w:rStyle w:val="FootnoteReference"/>
            <w:sz w:val="22"/>
            <w:szCs w:val="22"/>
          </w:rPr>
          <w:t>Scientific guidance on post-authorisation efficacy studies</w:t>
        </w:r>
      </w:hyperlink>
      <w:r w:rsidRPr="00196200">
        <w:rPr>
          <w:sz w:val="22"/>
          <w:szCs w:val="22"/>
          <w:vertAlign w:val="superscript"/>
        </w:rPr>
        <w:t>;</w:t>
      </w:r>
      <w:r w:rsidRPr="00196200">
        <w:rPr>
          <w:rStyle w:val="FootnoteReference"/>
          <w:sz w:val="22"/>
          <w:szCs w:val="22"/>
        </w:rPr>
        <w:t xml:space="preserve"> </w:t>
      </w:r>
    </w:p>
    <w:p w14:paraId="649D0DC0" w14:textId="1A1D2351" w:rsidR="00843743" w:rsidRPr="00196200" w:rsidRDefault="00843743" w:rsidP="002651FB">
      <w:pPr>
        <w:spacing w:after="0" w:line="240" w:lineRule="auto"/>
        <w:ind w:left="0"/>
        <w:rPr>
          <w:rStyle w:val="FootnoteReference"/>
          <w:sz w:val="22"/>
          <w:szCs w:val="22"/>
        </w:rPr>
      </w:pPr>
      <w:r w:rsidRPr="00196200">
        <w:rPr>
          <w:rStyle w:val="FootnoteReference"/>
          <w:sz w:val="22"/>
          <w:szCs w:val="22"/>
        </w:rPr>
        <w:t>Davis C, Lexchin J, Jefferson T, Gotzsche P, McKee M. Adaptive pathways to drug authorisation: adapting to industry? British Medical Journal 2016;354:doi 10.1136/bmj.i4437</w:t>
      </w:r>
      <w:r w:rsidRPr="00196200">
        <w:rPr>
          <w:sz w:val="22"/>
          <w:szCs w:val="22"/>
          <w:vertAlign w:val="superscript"/>
        </w:rPr>
        <w:t>;</w:t>
      </w:r>
    </w:p>
    <w:p w14:paraId="78255D15" w14:textId="3B7D6604" w:rsidR="00843743" w:rsidRPr="00196200" w:rsidRDefault="00843743" w:rsidP="002651FB">
      <w:pPr>
        <w:spacing w:after="0" w:line="240" w:lineRule="auto"/>
        <w:ind w:left="0"/>
        <w:rPr>
          <w:rStyle w:val="FootnoteReference"/>
          <w:sz w:val="22"/>
          <w:szCs w:val="22"/>
        </w:rPr>
      </w:pPr>
      <w:r w:rsidRPr="00196200">
        <w:rPr>
          <w:rStyle w:val="FootnoteReference"/>
          <w:sz w:val="22"/>
          <w:szCs w:val="22"/>
        </w:rPr>
        <w:t>Eichler HG, Hurts H, Broich K, Rasi G. Drug regulation and pricing: can regulators influence affordability? The New England Journal of Medicine 2016;374 (19): 1807-1809</w:t>
      </w:r>
      <w:r w:rsidRPr="00196200">
        <w:rPr>
          <w:sz w:val="22"/>
          <w:szCs w:val="22"/>
          <w:vertAlign w:val="superscript"/>
        </w:rPr>
        <w:t>;</w:t>
      </w:r>
    </w:p>
  </w:footnote>
  <w:footnote w:id="5">
    <w:p w14:paraId="4C70E2C4" w14:textId="6A2E7C42" w:rsidR="00843743" w:rsidRPr="00196200" w:rsidRDefault="00843743" w:rsidP="002651FB">
      <w:pPr>
        <w:spacing w:after="0" w:line="240" w:lineRule="auto"/>
        <w:ind w:left="0"/>
        <w:rPr>
          <w:rStyle w:val="FootnoteReference"/>
          <w:sz w:val="22"/>
          <w:szCs w:val="22"/>
        </w:rPr>
      </w:pPr>
      <w:r w:rsidRPr="00196200">
        <w:rPr>
          <w:rStyle w:val="FootnoteReference"/>
          <w:rFonts w:cs="Arial"/>
          <w:sz w:val="22"/>
          <w:szCs w:val="22"/>
        </w:rPr>
        <w:footnoteRef/>
      </w:r>
      <w:r w:rsidRPr="00196200">
        <w:rPr>
          <w:rStyle w:val="FootnoteReference"/>
          <w:sz w:val="22"/>
          <w:szCs w:val="22"/>
        </w:rPr>
        <w:t xml:space="preserve"> </w:t>
      </w:r>
      <w:hyperlink r:id="rId5" w:history="1">
        <w:r w:rsidRPr="00196200">
          <w:rPr>
            <w:rStyle w:val="FootnoteReference"/>
            <w:sz w:val="22"/>
            <w:szCs w:val="22"/>
          </w:rPr>
          <w:t>GetReal</w:t>
        </w:r>
      </w:hyperlink>
      <w:r w:rsidRPr="00196200">
        <w:rPr>
          <w:rStyle w:val="FootnoteReference"/>
          <w:sz w:val="22"/>
          <w:szCs w:val="22"/>
        </w:rPr>
        <w:t xml:space="preserve"> - Analyses how RWE can supplement RCT in the decision-makin</w:t>
      </w:r>
      <w:r>
        <w:rPr>
          <w:rStyle w:val="FootnoteReference"/>
          <w:sz w:val="22"/>
          <w:szCs w:val="22"/>
        </w:rPr>
        <w:t xml:space="preserve">g process of HTA assessments; </w:t>
      </w:r>
      <w:hyperlink r:id="rId6" w:history="1">
        <w:r w:rsidRPr="00196200">
          <w:rPr>
            <w:rStyle w:val="FootnoteReference"/>
            <w:sz w:val="22"/>
            <w:szCs w:val="22"/>
          </w:rPr>
          <w:t>ADAPT SMART</w:t>
        </w:r>
      </w:hyperlink>
      <w:r w:rsidRPr="00196200">
        <w:rPr>
          <w:rStyle w:val="FootnoteReference"/>
          <w:sz w:val="22"/>
          <w:szCs w:val="22"/>
        </w:rPr>
        <w:t xml:space="preserve"> -  Accelerated Development of Appropriate Patient Therapies: a Sustainable Multi-stakeholder Approach from Research to Treatment Outcomes initiative </w:t>
      </w:r>
    </w:p>
  </w:footnote>
  <w:footnote w:id="6">
    <w:p w14:paraId="21B86806" w14:textId="77777777" w:rsidR="00843743" w:rsidRPr="00196200" w:rsidRDefault="00843743" w:rsidP="002651FB">
      <w:pPr>
        <w:spacing w:after="0" w:line="240" w:lineRule="auto"/>
        <w:ind w:left="0"/>
        <w:rPr>
          <w:rFonts w:cs="Arial"/>
          <w:sz w:val="22"/>
          <w:szCs w:val="22"/>
          <w:lang w:val="en-US"/>
        </w:rPr>
      </w:pPr>
      <w:r w:rsidRPr="00196200">
        <w:rPr>
          <w:rStyle w:val="FootnoteReference"/>
          <w:rFonts w:cs="Arial"/>
          <w:sz w:val="22"/>
          <w:szCs w:val="22"/>
        </w:rPr>
        <w:footnoteRef/>
      </w:r>
      <w:r w:rsidRPr="00196200">
        <w:rPr>
          <w:rStyle w:val="FootnoteReference"/>
          <w:sz w:val="22"/>
          <w:szCs w:val="22"/>
        </w:rPr>
        <w:t xml:space="preserve"> Mechanism of Coordinated Access to Orphan Medicinal Products. </w:t>
      </w:r>
      <w:hyperlink r:id="rId7" w:history="1">
        <w:r w:rsidRPr="00196200">
          <w:rPr>
            <w:rStyle w:val="FootnoteReference"/>
            <w:sz w:val="22"/>
            <w:szCs w:val="22"/>
          </w:rPr>
          <w:t>https://www.eurordis.org/content/moca</w:t>
        </w:r>
      </w:hyperlink>
      <w:r w:rsidRPr="00196200">
        <w:rPr>
          <w:rStyle w:val="FootnoteReference"/>
          <w:sz w:val="22"/>
          <w:szCs w:val="22"/>
        </w:rPr>
        <w:t>. Accessed 20 October 2018.</w:t>
      </w:r>
    </w:p>
  </w:footnote>
  <w:footnote w:id="7">
    <w:p w14:paraId="3A7B7A75" w14:textId="77777777" w:rsidR="00843743" w:rsidRPr="00196200" w:rsidRDefault="00843743" w:rsidP="002651FB">
      <w:pPr>
        <w:spacing w:after="0" w:line="240" w:lineRule="auto"/>
        <w:ind w:left="0"/>
        <w:rPr>
          <w:rStyle w:val="FootnoteReference"/>
          <w:sz w:val="22"/>
          <w:szCs w:val="22"/>
        </w:rPr>
      </w:pPr>
      <w:r w:rsidRPr="00196200">
        <w:rPr>
          <w:rStyle w:val="FootnoteReference"/>
          <w:rFonts w:cs="Arial"/>
          <w:sz w:val="22"/>
          <w:szCs w:val="22"/>
        </w:rPr>
        <w:footnoteRef/>
      </w:r>
      <w:r w:rsidRPr="00196200">
        <w:rPr>
          <w:rStyle w:val="FootnoteReference"/>
          <w:sz w:val="22"/>
          <w:szCs w:val="22"/>
        </w:rPr>
        <w:t xml:space="preserve"> ISPOR-ISPE taskforce has published recommendations on Real World Evidence in Health Care Decision Making, enhancing the Transparency and Credibility (Berger et al., 2017b)</w:t>
      </w:r>
    </w:p>
  </w:footnote>
  <w:footnote w:id="8">
    <w:p w14:paraId="2E15B0E6" w14:textId="77777777" w:rsidR="00843743" w:rsidRPr="00196200" w:rsidRDefault="00843743" w:rsidP="002651FB">
      <w:pPr>
        <w:spacing w:after="0" w:line="240" w:lineRule="auto"/>
        <w:ind w:left="0"/>
        <w:rPr>
          <w:rFonts w:cs="Arial"/>
          <w:sz w:val="22"/>
          <w:szCs w:val="22"/>
          <w:lang w:val="en-US"/>
        </w:rPr>
      </w:pPr>
      <w:r w:rsidRPr="00196200">
        <w:rPr>
          <w:rStyle w:val="FootnoteReference"/>
          <w:rFonts w:cs="Arial"/>
          <w:sz w:val="22"/>
          <w:szCs w:val="22"/>
        </w:rPr>
        <w:footnoteRef/>
      </w:r>
      <w:r w:rsidRPr="00196200">
        <w:rPr>
          <w:rStyle w:val="FootnoteReference"/>
          <w:sz w:val="22"/>
          <w:szCs w:val="22"/>
        </w:rPr>
        <w:t xml:space="preserve"> ORPH-VAL Working Group – European Working Group for Value Assessment and Funding Processes in Rare Diseases. </w:t>
      </w:r>
      <w:hyperlink r:id="rId8" w:history="1">
        <w:r w:rsidRPr="00196200">
          <w:rPr>
            <w:rStyle w:val="FootnoteReference"/>
            <w:sz w:val="22"/>
            <w:szCs w:val="22"/>
          </w:rPr>
          <w:t>http://www.orph-val.org/</w:t>
        </w:r>
      </w:hyperlink>
      <w:r w:rsidRPr="00196200">
        <w:rPr>
          <w:rStyle w:val="FootnoteReference"/>
          <w:sz w:val="22"/>
          <w:szCs w:val="22"/>
        </w:rPr>
        <w:t>. Accessed 20 October 2018.</w:t>
      </w:r>
    </w:p>
  </w:footnote>
  <w:footnote w:id="9">
    <w:p w14:paraId="11302B98" w14:textId="77777777" w:rsidR="00843743" w:rsidRPr="003A6ACA" w:rsidRDefault="00843743" w:rsidP="002651FB">
      <w:pPr>
        <w:spacing w:after="0" w:line="240" w:lineRule="auto"/>
        <w:ind w:left="0"/>
        <w:rPr>
          <w:rStyle w:val="FootnoteReference"/>
          <w:rFonts w:cs="Arial"/>
          <w:sz w:val="22"/>
        </w:rPr>
      </w:pPr>
      <w:r w:rsidRPr="003A6ACA">
        <w:rPr>
          <w:rStyle w:val="FootnoteReference"/>
          <w:rFonts w:cs="Arial"/>
          <w:sz w:val="22"/>
          <w:szCs w:val="18"/>
        </w:rPr>
        <w:footnoteRef/>
      </w:r>
      <w:r w:rsidRPr="003A6ACA">
        <w:rPr>
          <w:rStyle w:val="FootnoteReference"/>
          <w:rFonts w:cs="Arial"/>
          <w:sz w:val="22"/>
        </w:rPr>
        <w:t xml:space="preserve"> Annemans and Pani. The use of real world data throughout an innovative medicine’s lifecycle. 2017.</w:t>
      </w:r>
      <w:r w:rsidRPr="003A6ACA">
        <w:rPr>
          <w:rStyle w:val="FootnoteReference"/>
          <w:rFonts w:cs="Arial"/>
          <w:sz w:val="22"/>
          <w:szCs w:val="18"/>
        </w:rPr>
        <w:t xml:space="preserve"> </w:t>
      </w:r>
      <w:hyperlink r:id="rId9" w:history="1">
        <w:r w:rsidRPr="003A6ACA">
          <w:rPr>
            <w:rStyle w:val="FootnoteReference"/>
            <w:rFonts w:cs="Arial"/>
            <w:sz w:val="22"/>
          </w:rPr>
          <w:t>https://www.inami.fgov.be/fr/themes/cout-remboursement/par-mutualite/medicament-produits-sante/remboursement/medicaments-innovants/Pages/innovative-medicins-lifecycle.aspx</w:t>
        </w:r>
      </w:hyperlink>
      <w:r w:rsidRPr="003A6ACA">
        <w:rPr>
          <w:rStyle w:val="FootnoteReference"/>
          <w:rFonts w:cs="Arial"/>
          <w:sz w:val="22"/>
        </w:rPr>
        <w:t>. Accessed 20 October 2018.</w:t>
      </w:r>
    </w:p>
  </w:footnote>
  <w:footnote w:id="10">
    <w:p w14:paraId="00051700" w14:textId="77777777" w:rsidR="00843743" w:rsidRPr="003A6ACA" w:rsidRDefault="00843743" w:rsidP="002651FB">
      <w:pPr>
        <w:spacing w:after="0" w:line="240" w:lineRule="auto"/>
        <w:ind w:left="0"/>
        <w:rPr>
          <w:rStyle w:val="FootnoteReference"/>
          <w:rFonts w:cs="Arial"/>
          <w:sz w:val="22"/>
          <w:szCs w:val="18"/>
        </w:rPr>
      </w:pPr>
      <w:r w:rsidRPr="003A6ACA">
        <w:rPr>
          <w:rStyle w:val="FootnoteReference"/>
          <w:rFonts w:cs="Arial"/>
          <w:sz w:val="22"/>
          <w:szCs w:val="18"/>
        </w:rPr>
        <w:footnoteRef/>
      </w:r>
      <w:r w:rsidRPr="003A6ACA">
        <w:rPr>
          <w:rStyle w:val="FootnoteReference"/>
          <w:rFonts w:cs="Arial"/>
          <w:sz w:val="22"/>
          <w:szCs w:val="18"/>
        </w:rPr>
        <w:t xml:space="preserve"> Hampson G, Towse A, Dreitlein B et al. Real-world evidence for coverage decisions. Opportunities and challenges. 2018. </w:t>
      </w:r>
      <w:hyperlink r:id="rId10" w:history="1">
        <w:r w:rsidRPr="003A6ACA">
          <w:rPr>
            <w:rStyle w:val="FootnoteReference"/>
            <w:rFonts w:cs="Arial"/>
            <w:sz w:val="22"/>
            <w:szCs w:val="18"/>
          </w:rPr>
          <w:t>https://icer-review.org/material/rwe-white-paper/</w:t>
        </w:r>
      </w:hyperlink>
      <w:r w:rsidRPr="003A6ACA">
        <w:rPr>
          <w:rStyle w:val="FootnoteReference"/>
          <w:rFonts w:cs="Arial"/>
          <w:sz w:val="22"/>
          <w:szCs w:val="18"/>
        </w:rPr>
        <w:t xml:space="preserve"> Accessed 20 October 2018. </w:t>
      </w:r>
    </w:p>
  </w:footnote>
  <w:footnote w:id="11">
    <w:p w14:paraId="5E5017FD" w14:textId="165F3850" w:rsidR="00843743" w:rsidRPr="00452E5C" w:rsidRDefault="00843743" w:rsidP="002651FB">
      <w:pPr>
        <w:spacing w:after="0" w:line="240" w:lineRule="auto"/>
        <w:ind w:left="0"/>
        <w:rPr>
          <w:lang w:val="en-US"/>
        </w:rPr>
      </w:pPr>
      <w:r w:rsidRPr="003A6ACA">
        <w:rPr>
          <w:rStyle w:val="FootnoteReference"/>
          <w:rFonts w:cs="Arial"/>
          <w:sz w:val="22"/>
          <w:szCs w:val="18"/>
        </w:rPr>
        <w:footnoteRef/>
      </w:r>
      <w:r w:rsidRPr="003A6ACA">
        <w:rPr>
          <w:rStyle w:val="FootnoteReference"/>
          <w:rFonts w:cs="Arial"/>
          <w:sz w:val="22"/>
          <w:szCs w:val="18"/>
        </w:rPr>
        <w:t xml:space="preserve"> Mitroiu M, Rengerink KO, Pontes C, Sancho A, Vives R, Pesiou S, Fontanet JM, Torres F, Nikolakopoulos S, Pateras K, Rosenkranz G, Posch M, Urach S, Ristl R, Koch A, Loukia S, van der Lee JH, Roes KCB. Orphanet J Rare Dis. 2018 Nov 12;13(1):200.</w:t>
      </w:r>
    </w:p>
  </w:footnote>
  <w:footnote w:id="12">
    <w:p w14:paraId="2FFE2BCA" w14:textId="2AB23CA5" w:rsidR="00843743" w:rsidRPr="00230600" w:rsidRDefault="00843743" w:rsidP="00230600">
      <w:pPr>
        <w:spacing w:after="0" w:line="240" w:lineRule="auto"/>
        <w:ind w:left="0"/>
        <w:rPr>
          <w:lang w:val="en-US"/>
        </w:rPr>
      </w:pPr>
      <w:r w:rsidRPr="00230600">
        <w:rPr>
          <w:rStyle w:val="FootnoteReference"/>
          <w:rFonts w:cs="Arial"/>
          <w:sz w:val="22"/>
          <w:szCs w:val="18"/>
        </w:rPr>
        <w:footnoteRef/>
      </w:r>
      <w:r w:rsidRPr="00230600">
        <w:rPr>
          <w:rStyle w:val="FootnoteReference"/>
          <w:rFonts w:cs="Arial"/>
          <w:sz w:val="22"/>
          <w:szCs w:val="18"/>
        </w:rPr>
        <w:t xml:space="preserve"> PAES scientific guidance: https://www.ema.europa.eu/documents/scientific-guideline/scientific-guidance-post-authorisation-efficacy-studies-first-version_en.pdf</w:t>
      </w:r>
    </w:p>
  </w:footnote>
  <w:footnote w:id="13">
    <w:p w14:paraId="3C1B48D7" w14:textId="4915371A" w:rsidR="00843743" w:rsidRPr="0018126D" w:rsidRDefault="00843743" w:rsidP="002651FB">
      <w:pPr>
        <w:pStyle w:val="FootnoteText"/>
        <w:ind w:left="0"/>
        <w:rPr>
          <w:lang w:val="en-US"/>
        </w:rPr>
      </w:pPr>
      <w:r>
        <w:rPr>
          <w:rStyle w:val="FootnoteReference"/>
        </w:rPr>
        <w:footnoteRef/>
      </w:r>
      <w:r>
        <w:t xml:space="preserve"> Mann H, Djulbegovic B. Comparator bias: why comparisons must address genuine uncertainties. Journal of the Royal Society of Medicine 2013;106:30-33.</w:t>
      </w:r>
    </w:p>
  </w:footnote>
  <w:footnote w:id="14">
    <w:p w14:paraId="11BC5BF5" w14:textId="77777777" w:rsidR="00843743" w:rsidRPr="006C589C" w:rsidRDefault="00843743" w:rsidP="002651FB">
      <w:pPr>
        <w:pStyle w:val="FootnoteText"/>
        <w:ind w:left="0"/>
        <w:rPr>
          <w:lang w:val="nl-NL"/>
        </w:rPr>
      </w:pPr>
      <w:r>
        <w:rPr>
          <w:rStyle w:val="FootnoteReference"/>
        </w:rPr>
        <w:footnoteRef/>
      </w:r>
      <w:r>
        <w:t xml:space="preserve"> </w:t>
      </w:r>
      <w:hyperlink r:id="rId11" w:history="1">
        <w:r w:rsidRPr="00945D7A">
          <w:rPr>
            <w:rStyle w:val="Hyperlink"/>
          </w:rPr>
          <w:t>http://www.irdirc.org/statistical-design-and-analysis-of-small-population-group-trials/</w:t>
        </w:r>
      </w:hyperlink>
      <w:r>
        <w:t xml:space="preserve"> </w:t>
      </w:r>
    </w:p>
  </w:footnote>
  <w:footnote w:id="15">
    <w:p w14:paraId="65F2796E" w14:textId="420C7D84" w:rsidR="00843743" w:rsidRPr="006C589C" w:rsidRDefault="00843743" w:rsidP="002651FB">
      <w:pPr>
        <w:pStyle w:val="FootnoteText"/>
        <w:ind w:left="0"/>
        <w:rPr>
          <w:lang w:val="nl-NL"/>
        </w:rPr>
      </w:pPr>
      <w:r>
        <w:rPr>
          <w:rStyle w:val="FootnoteReference"/>
        </w:rPr>
        <w:footnoteRef/>
      </w:r>
      <w:r>
        <w:t xml:space="preserve"> </w:t>
      </w:r>
      <w:r w:rsidRPr="006C589C">
        <w:rPr>
          <w:lang w:val="nl-NL"/>
        </w:rPr>
        <w:t>See Facey K. et al. International Journal of Technology Assessment in Health Care, 31:4 (2015), 201–206.</w:t>
      </w:r>
    </w:p>
  </w:footnote>
  <w:footnote w:id="16">
    <w:p w14:paraId="3044EC55" w14:textId="57B49741" w:rsidR="00843743" w:rsidRPr="00D300DD" w:rsidRDefault="00843743" w:rsidP="002651FB">
      <w:pPr>
        <w:pStyle w:val="FootnoteText"/>
        <w:ind w:left="0"/>
        <w:rPr>
          <w:lang w:val="en-US"/>
        </w:rPr>
      </w:pPr>
      <w:r>
        <w:rPr>
          <w:rStyle w:val="FootnoteReference"/>
        </w:rPr>
        <w:footnoteRef/>
      </w:r>
      <w:r>
        <w:t xml:space="preserve">  Based on </w:t>
      </w:r>
      <w:r w:rsidRPr="00BF194D">
        <w:t>Huxtable R. Law, ethics &amp; compromise at the limits of life: To treat or not to treat? (2012, London: Routledge)</w:t>
      </w:r>
    </w:p>
  </w:footnote>
  <w:footnote w:id="17">
    <w:p w14:paraId="5FE68892" w14:textId="2B8F6113" w:rsidR="00843743" w:rsidRPr="00D300DD" w:rsidRDefault="00843743" w:rsidP="002651FB">
      <w:pPr>
        <w:pStyle w:val="FootnoteText"/>
        <w:ind w:left="0"/>
        <w:rPr>
          <w:lang w:val="en-US"/>
        </w:rPr>
      </w:pPr>
      <w:r>
        <w:rPr>
          <w:rStyle w:val="FootnoteReference"/>
        </w:rPr>
        <w:footnoteRef/>
      </w:r>
      <w:r>
        <w:t xml:space="preserve"> </w:t>
      </w:r>
      <w:r w:rsidRPr="00D300DD">
        <w:rPr>
          <w:lang w:val="en-US"/>
        </w:rPr>
        <w:t>See also Spang, FMG, "Dealing with Disagreement: Towards a Conception of Feasible Compromise" (2017). Electronic Thesis and Dissertation Repository. 4919.</w:t>
      </w:r>
    </w:p>
  </w:footnote>
  <w:footnote w:id="18">
    <w:p w14:paraId="6180EC2D" w14:textId="2A6F003C" w:rsidR="00843743" w:rsidRPr="00D300DD" w:rsidRDefault="00843743" w:rsidP="002651FB">
      <w:pPr>
        <w:pStyle w:val="FootnoteText"/>
        <w:ind w:left="0"/>
        <w:rPr>
          <w:lang w:val="en-US"/>
        </w:rPr>
      </w:pPr>
      <w:r>
        <w:rPr>
          <w:rStyle w:val="FootnoteReference"/>
        </w:rPr>
        <w:footnoteRef/>
      </w:r>
      <w:r>
        <w:t xml:space="preserve"> </w:t>
      </w:r>
      <w:r w:rsidRPr="00463BE0">
        <w:t>http://www.ema.europa.eu/docs/en_GB/document_library/Regulatory_and_procedural_guideline/2017/07/WC500230375.pdf</w:t>
      </w:r>
    </w:p>
  </w:footnote>
  <w:footnote w:id="19">
    <w:p w14:paraId="700F4268" w14:textId="25C5E2B9" w:rsidR="00843743" w:rsidRPr="00D300DD" w:rsidRDefault="00843743" w:rsidP="002651FB">
      <w:pPr>
        <w:pStyle w:val="FootnoteText"/>
        <w:ind w:left="0"/>
        <w:rPr>
          <w:lang w:val="en-US"/>
        </w:rPr>
      </w:pPr>
      <w:r>
        <w:rPr>
          <w:rStyle w:val="FootnoteReference"/>
        </w:rPr>
        <w:footnoteRef/>
      </w:r>
      <w:r>
        <w:t xml:space="preserve"> </w:t>
      </w:r>
      <w:r w:rsidRPr="009854C5">
        <w:t>https://www.eunethta.eu/services/early-dialogues/</w:t>
      </w:r>
    </w:p>
  </w:footnote>
  <w:footnote w:id="20">
    <w:p w14:paraId="5A78B858" w14:textId="1DA5043F" w:rsidR="00843743" w:rsidRPr="006C589C" w:rsidRDefault="00843743" w:rsidP="002651FB">
      <w:pPr>
        <w:pStyle w:val="FootnoteText"/>
        <w:ind w:left="0"/>
        <w:rPr>
          <w:lang w:val="nl-NL"/>
        </w:rPr>
      </w:pPr>
      <w:r>
        <w:rPr>
          <w:rStyle w:val="FootnoteReference"/>
        </w:rPr>
        <w:footnoteRef/>
      </w:r>
      <w:r>
        <w:t xml:space="preserve"> Makady A, van Veelen A, de Boer A, Hillege H, Klungel OH, Goettsch W. Implementing managed entry agreements in practice: The Dutch reality check. Health Policy. 2018 Sep 28.</w:t>
      </w:r>
    </w:p>
  </w:footnote>
  <w:footnote w:id="21">
    <w:p w14:paraId="00189D96" w14:textId="47AC404D" w:rsidR="00843743" w:rsidRPr="00082A18" w:rsidRDefault="00843743" w:rsidP="002651FB">
      <w:pPr>
        <w:pStyle w:val="FootnoteText"/>
        <w:ind w:left="0"/>
        <w:jc w:val="left"/>
        <w:rPr>
          <w:rStyle w:val="Hyperlink"/>
        </w:rPr>
      </w:pPr>
      <w:r>
        <w:rPr>
          <w:rStyle w:val="FootnoteReference"/>
        </w:rPr>
        <w:footnoteRef/>
      </w:r>
      <w:r>
        <w:t xml:space="preserve"> </w:t>
      </w:r>
      <w:r>
        <w:rPr>
          <w:rStyle w:val="Hyperlink"/>
        </w:rPr>
        <w:t xml:space="preserve"> Eurordis. </w:t>
      </w:r>
      <w:r w:rsidRPr="00082A18">
        <w:t>Breaking the Access Deadlock to Leave No One Behind</w:t>
      </w:r>
      <w:r>
        <w:t xml:space="preserve"> (p54)</w:t>
      </w:r>
      <w:r w:rsidRPr="00082A18">
        <w:t xml:space="preserve">, </w:t>
      </w:r>
      <w:r>
        <w:t>2</w:t>
      </w:r>
      <w:r w:rsidRPr="00082A18">
        <w:t xml:space="preserve">018,  </w:t>
      </w:r>
      <w:hyperlink r:id="rId12" w:history="1">
        <w:r w:rsidRPr="00082A18">
          <w:rPr>
            <w:rStyle w:val="Hyperlink"/>
          </w:rPr>
          <w:t>http://download2.eurordis.org.s3.amazonaws.com/positionpapers/eurordis_access_position_paper_final_4122017.pdf</w:t>
        </w:r>
      </w:hyperlink>
      <w:r>
        <w:t xml:space="preserve"> Accessed 20 October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232F6" w14:textId="46DF14A7" w:rsidR="00843743" w:rsidRPr="005F477E" w:rsidRDefault="00843743" w:rsidP="009D4F47">
    <w:pPr>
      <w:tabs>
        <w:tab w:val="center" w:pos="4513"/>
        <w:tab w:val="right" w:pos="9026"/>
      </w:tabs>
      <w:spacing w:after="0"/>
      <w:jc w:val="center"/>
      <w:rPr>
        <w:color w:val="A6A6A6" w:themeColor="background1" w:themeShade="A6"/>
        <w:sz w:val="16"/>
      </w:rPr>
    </w:pPr>
    <w:r w:rsidRPr="00DE2CA9">
      <w:rPr>
        <w:rFonts w:eastAsia="MS Mincho" w:cs="Arial"/>
        <w:color w:val="A6A6A6" w:themeColor="background1" w:themeShade="A6"/>
        <w:sz w:val="16"/>
        <w:szCs w:val="14"/>
      </w:rPr>
      <w:t>Tool for Reducing Uncertainties in the evidence generation for Specialised Treatments for Rare Diseases.</w:t>
    </w:r>
    <w:r>
      <w:rPr>
        <w:rFonts w:eastAsia="MS Mincho" w:cs="Arial"/>
        <w:color w:val="A6A6A6" w:themeColor="background1" w:themeShade="A6"/>
        <w:sz w:val="16"/>
        <w:szCs w:val="14"/>
      </w:rPr>
      <w:t xml:space="preserve"> </w:t>
    </w:r>
    <w:r w:rsidR="0052515C">
      <w:rPr>
        <w:color w:val="A6A6A6" w:themeColor="background1" w:themeShade="A6"/>
        <w:sz w:val="16"/>
      </w:rPr>
      <w:t>March</w:t>
    </w:r>
    <w:r>
      <w:rPr>
        <w:color w:val="A6A6A6" w:themeColor="background1" w:themeShade="A6"/>
        <w:sz w:val="16"/>
      </w:rPr>
      <w:t xml:space="preserve"> 2019</w:t>
    </w:r>
  </w:p>
  <w:p w14:paraId="2599D6DE" w14:textId="0DBB4ECB" w:rsidR="00843743" w:rsidRDefault="00843743" w:rsidP="00BA0659">
    <w:pPr>
      <w:tabs>
        <w:tab w:val="left" w:pos="2512"/>
      </w:tabs>
      <w:spacing w:after="0"/>
      <w:rPr>
        <w:b/>
        <w:color w:val="BFBFBF"/>
        <w:sz w:val="16"/>
      </w:rPr>
    </w:pPr>
  </w:p>
  <w:p w14:paraId="19D4D1C6" w14:textId="77777777" w:rsidR="00843743" w:rsidRDefault="00843743" w:rsidP="004367F2">
    <w:pPr>
      <w:tabs>
        <w:tab w:val="center" w:pos="4513"/>
        <w:tab w:val="right" w:pos="9026"/>
      </w:tabs>
      <w:spacing w:after="0"/>
      <w:rPr>
        <w:b/>
        <w:color w:val="BFBFBF"/>
        <w:sz w:val="16"/>
      </w:rPr>
    </w:pPr>
  </w:p>
  <w:p w14:paraId="14806B94" w14:textId="77777777" w:rsidR="00843743" w:rsidRPr="004367F2" w:rsidRDefault="00843743" w:rsidP="004367F2">
    <w:pPr>
      <w:tabs>
        <w:tab w:val="center" w:pos="4513"/>
        <w:tab w:val="right" w:pos="9026"/>
      </w:tabs>
      <w:spacing w:after="0"/>
      <w:rPr>
        <w:rFonts w:eastAsia="MS Mincho" w:cs="Arial"/>
        <w:b/>
        <w:color w:val="5F697F"/>
        <w:sz w:val="16"/>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CDBEA" w14:textId="77777777" w:rsidR="00843743" w:rsidRDefault="00843743" w:rsidP="007E7EB0">
    <w:pPr>
      <w:pStyle w:val="NoSpace"/>
    </w:pPr>
  </w:p>
  <w:p w14:paraId="5D8DA441" w14:textId="77777777" w:rsidR="00843743" w:rsidRDefault="00843743" w:rsidP="007E7EB0">
    <w:pPr>
      <w:pStyle w:val="NoSpa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9522C"/>
    <w:multiLevelType w:val="hybridMultilevel"/>
    <w:tmpl w:val="45EE4598"/>
    <w:lvl w:ilvl="0" w:tplc="F0F810B2">
      <w:start w:val="1"/>
      <w:numFmt w:val="bullet"/>
      <w:lvlText w:val=""/>
      <w:lvlJc w:val="left"/>
      <w:pPr>
        <w:ind w:left="1117" w:hanging="360"/>
      </w:pPr>
      <w:rPr>
        <w:rFonts w:ascii="Wingdings" w:hAnsi="Wingdings" w:hint="default"/>
        <w:color w:val="5ABEC1"/>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 w15:restartNumberingAfterBreak="0">
    <w:nsid w:val="0DDB2A9A"/>
    <w:multiLevelType w:val="hybridMultilevel"/>
    <w:tmpl w:val="1528E9F2"/>
    <w:lvl w:ilvl="0" w:tplc="F0F810B2">
      <w:start w:val="1"/>
      <w:numFmt w:val="bullet"/>
      <w:lvlText w:val=""/>
      <w:lvlJc w:val="left"/>
      <w:pPr>
        <w:ind w:left="1117" w:hanging="360"/>
      </w:pPr>
      <w:rPr>
        <w:rFonts w:ascii="Wingdings" w:hAnsi="Wingdings" w:hint="default"/>
        <w:color w:val="5ABEC1"/>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 w15:restartNumberingAfterBreak="0">
    <w:nsid w:val="20B31C33"/>
    <w:multiLevelType w:val="hybridMultilevel"/>
    <w:tmpl w:val="19F2D314"/>
    <w:lvl w:ilvl="0" w:tplc="F0F810B2">
      <w:start w:val="1"/>
      <w:numFmt w:val="bullet"/>
      <w:lvlText w:val=""/>
      <w:lvlJc w:val="left"/>
      <w:pPr>
        <w:ind w:left="-250" w:hanging="360"/>
      </w:pPr>
      <w:rPr>
        <w:rFonts w:ascii="Wingdings" w:hAnsi="Wingdings" w:hint="default"/>
        <w:color w:val="5ABEC1"/>
      </w:rPr>
    </w:lvl>
    <w:lvl w:ilvl="1" w:tplc="B56212A8">
      <w:start w:val="1"/>
      <w:numFmt w:val="bullet"/>
      <w:lvlText w:val="-"/>
      <w:lvlJc w:val="left"/>
      <w:pPr>
        <w:tabs>
          <w:tab w:val="num" w:pos="470"/>
        </w:tabs>
        <w:ind w:left="470" w:hanging="360"/>
      </w:pPr>
      <w:rPr>
        <w:rFonts w:ascii="Arial" w:hAnsi="Arial" w:hint="default"/>
      </w:rPr>
    </w:lvl>
    <w:lvl w:ilvl="2" w:tplc="044E8D52" w:tentative="1">
      <w:start w:val="1"/>
      <w:numFmt w:val="bullet"/>
      <w:lvlText w:val="-"/>
      <w:lvlJc w:val="left"/>
      <w:pPr>
        <w:tabs>
          <w:tab w:val="num" w:pos="1190"/>
        </w:tabs>
        <w:ind w:left="1190" w:hanging="360"/>
      </w:pPr>
      <w:rPr>
        <w:rFonts w:ascii="Arial" w:hAnsi="Arial" w:hint="default"/>
      </w:rPr>
    </w:lvl>
    <w:lvl w:ilvl="3" w:tplc="EBFCB33E" w:tentative="1">
      <w:start w:val="1"/>
      <w:numFmt w:val="bullet"/>
      <w:lvlText w:val="-"/>
      <w:lvlJc w:val="left"/>
      <w:pPr>
        <w:tabs>
          <w:tab w:val="num" w:pos="1910"/>
        </w:tabs>
        <w:ind w:left="1910" w:hanging="360"/>
      </w:pPr>
      <w:rPr>
        <w:rFonts w:ascii="Arial" w:hAnsi="Arial" w:hint="default"/>
      </w:rPr>
    </w:lvl>
    <w:lvl w:ilvl="4" w:tplc="CD14F418" w:tentative="1">
      <w:start w:val="1"/>
      <w:numFmt w:val="bullet"/>
      <w:lvlText w:val="-"/>
      <w:lvlJc w:val="left"/>
      <w:pPr>
        <w:tabs>
          <w:tab w:val="num" w:pos="2630"/>
        </w:tabs>
        <w:ind w:left="2630" w:hanging="360"/>
      </w:pPr>
      <w:rPr>
        <w:rFonts w:ascii="Arial" w:hAnsi="Arial" w:hint="default"/>
      </w:rPr>
    </w:lvl>
    <w:lvl w:ilvl="5" w:tplc="081A200C" w:tentative="1">
      <w:start w:val="1"/>
      <w:numFmt w:val="bullet"/>
      <w:lvlText w:val="-"/>
      <w:lvlJc w:val="left"/>
      <w:pPr>
        <w:tabs>
          <w:tab w:val="num" w:pos="3350"/>
        </w:tabs>
        <w:ind w:left="3350" w:hanging="360"/>
      </w:pPr>
      <w:rPr>
        <w:rFonts w:ascii="Arial" w:hAnsi="Arial" w:hint="default"/>
      </w:rPr>
    </w:lvl>
    <w:lvl w:ilvl="6" w:tplc="C1686E0A" w:tentative="1">
      <w:start w:val="1"/>
      <w:numFmt w:val="bullet"/>
      <w:lvlText w:val="-"/>
      <w:lvlJc w:val="left"/>
      <w:pPr>
        <w:tabs>
          <w:tab w:val="num" w:pos="4070"/>
        </w:tabs>
        <w:ind w:left="4070" w:hanging="360"/>
      </w:pPr>
      <w:rPr>
        <w:rFonts w:ascii="Arial" w:hAnsi="Arial" w:hint="default"/>
      </w:rPr>
    </w:lvl>
    <w:lvl w:ilvl="7" w:tplc="EB049434" w:tentative="1">
      <w:start w:val="1"/>
      <w:numFmt w:val="bullet"/>
      <w:lvlText w:val="-"/>
      <w:lvlJc w:val="left"/>
      <w:pPr>
        <w:tabs>
          <w:tab w:val="num" w:pos="4790"/>
        </w:tabs>
        <w:ind w:left="4790" w:hanging="360"/>
      </w:pPr>
      <w:rPr>
        <w:rFonts w:ascii="Arial" w:hAnsi="Arial" w:hint="default"/>
      </w:rPr>
    </w:lvl>
    <w:lvl w:ilvl="8" w:tplc="2F8EE088" w:tentative="1">
      <w:start w:val="1"/>
      <w:numFmt w:val="bullet"/>
      <w:lvlText w:val="-"/>
      <w:lvlJc w:val="left"/>
      <w:pPr>
        <w:tabs>
          <w:tab w:val="num" w:pos="5510"/>
        </w:tabs>
        <w:ind w:left="5510" w:hanging="360"/>
      </w:pPr>
      <w:rPr>
        <w:rFonts w:ascii="Arial" w:hAnsi="Arial" w:hint="default"/>
      </w:rPr>
    </w:lvl>
  </w:abstractNum>
  <w:abstractNum w:abstractNumId="3" w15:restartNumberingAfterBreak="0">
    <w:nsid w:val="2E3B569E"/>
    <w:multiLevelType w:val="hybridMultilevel"/>
    <w:tmpl w:val="6152FCDE"/>
    <w:lvl w:ilvl="0" w:tplc="F0F810B2">
      <w:start w:val="1"/>
      <w:numFmt w:val="bullet"/>
      <w:lvlText w:val=""/>
      <w:lvlJc w:val="left"/>
      <w:pPr>
        <w:ind w:left="1117" w:hanging="360"/>
      </w:pPr>
      <w:rPr>
        <w:rFonts w:ascii="Wingdings" w:hAnsi="Wingdings" w:hint="default"/>
        <w:color w:val="5ABEC1"/>
      </w:rPr>
    </w:lvl>
    <w:lvl w:ilvl="1" w:tplc="B56212A8">
      <w:start w:val="1"/>
      <w:numFmt w:val="bullet"/>
      <w:lvlText w:val="-"/>
      <w:lvlJc w:val="left"/>
      <w:pPr>
        <w:tabs>
          <w:tab w:val="num" w:pos="470"/>
        </w:tabs>
        <w:ind w:left="470" w:hanging="360"/>
      </w:pPr>
      <w:rPr>
        <w:rFonts w:ascii="Arial" w:hAnsi="Arial" w:hint="default"/>
      </w:rPr>
    </w:lvl>
    <w:lvl w:ilvl="2" w:tplc="044E8D52" w:tentative="1">
      <w:start w:val="1"/>
      <w:numFmt w:val="bullet"/>
      <w:lvlText w:val="-"/>
      <w:lvlJc w:val="left"/>
      <w:pPr>
        <w:tabs>
          <w:tab w:val="num" w:pos="1190"/>
        </w:tabs>
        <w:ind w:left="1190" w:hanging="360"/>
      </w:pPr>
      <w:rPr>
        <w:rFonts w:ascii="Arial" w:hAnsi="Arial" w:hint="default"/>
      </w:rPr>
    </w:lvl>
    <w:lvl w:ilvl="3" w:tplc="EBFCB33E" w:tentative="1">
      <w:start w:val="1"/>
      <w:numFmt w:val="bullet"/>
      <w:lvlText w:val="-"/>
      <w:lvlJc w:val="left"/>
      <w:pPr>
        <w:tabs>
          <w:tab w:val="num" w:pos="1910"/>
        </w:tabs>
        <w:ind w:left="1910" w:hanging="360"/>
      </w:pPr>
      <w:rPr>
        <w:rFonts w:ascii="Arial" w:hAnsi="Arial" w:hint="default"/>
      </w:rPr>
    </w:lvl>
    <w:lvl w:ilvl="4" w:tplc="CD14F418" w:tentative="1">
      <w:start w:val="1"/>
      <w:numFmt w:val="bullet"/>
      <w:lvlText w:val="-"/>
      <w:lvlJc w:val="left"/>
      <w:pPr>
        <w:tabs>
          <w:tab w:val="num" w:pos="2630"/>
        </w:tabs>
        <w:ind w:left="2630" w:hanging="360"/>
      </w:pPr>
      <w:rPr>
        <w:rFonts w:ascii="Arial" w:hAnsi="Arial" w:hint="default"/>
      </w:rPr>
    </w:lvl>
    <w:lvl w:ilvl="5" w:tplc="081A200C" w:tentative="1">
      <w:start w:val="1"/>
      <w:numFmt w:val="bullet"/>
      <w:lvlText w:val="-"/>
      <w:lvlJc w:val="left"/>
      <w:pPr>
        <w:tabs>
          <w:tab w:val="num" w:pos="3350"/>
        </w:tabs>
        <w:ind w:left="3350" w:hanging="360"/>
      </w:pPr>
      <w:rPr>
        <w:rFonts w:ascii="Arial" w:hAnsi="Arial" w:hint="default"/>
      </w:rPr>
    </w:lvl>
    <w:lvl w:ilvl="6" w:tplc="C1686E0A" w:tentative="1">
      <w:start w:val="1"/>
      <w:numFmt w:val="bullet"/>
      <w:lvlText w:val="-"/>
      <w:lvlJc w:val="left"/>
      <w:pPr>
        <w:tabs>
          <w:tab w:val="num" w:pos="4070"/>
        </w:tabs>
        <w:ind w:left="4070" w:hanging="360"/>
      </w:pPr>
      <w:rPr>
        <w:rFonts w:ascii="Arial" w:hAnsi="Arial" w:hint="default"/>
      </w:rPr>
    </w:lvl>
    <w:lvl w:ilvl="7" w:tplc="EB049434" w:tentative="1">
      <w:start w:val="1"/>
      <w:numFmt w:val="bullet"/>
      <w:lvlText w:val="-"/>
      <w:lvlJc w:val="left"/>
      <w:pPr>
        <w:tabs>
          <w:tab w:val="num" w:pos="4790"/>
        </w:tabs>
        <w:ind w:left="4790" w:hanging="360"/>
      </w:pPr>
      <w:rPr>
        <w:rFonts w:ascii="Arial" w:hAnsi="Arial" w:hint="default"/>
      </w:rPr>
    </w:lvl>
    <w:lvl w:ilvl="8" w:tplc="2F8EE088" w:tentative="1">
      <w:start w:val="1"/>
      <w:numFmt w:val="bullet"/>
      <w:lvlText w:val="-"/>
      <w:lvlJc w:val="left"/>
      <w:pPr>
        <w:tabs>
          <w:tab w:val="num" w:pos="5510"/>
        </w:tabs>
        <w:ind w:left="5510" w:hanging="360"/>
      </w:pPr>
      <w:rPr>
        <w:rFonts w:ascii="Arial" w:hAnsi="Arial" w:hint="default"/>
      </w:rPr>
    </w:lvl>
  </w:abstractNum>
  <w:abstractNum w:abstractNumId="4" w15:restartNumberingAfterBreak="0">
    <w:nsid w:val="31CD336F"/>
    <w:multiLevelType w:val="hybridMultilevel"/>
    <w:tmpl w:val="E0BC2936"/>
    <w:lvl w:ilvl="0" w:tplc="F0F810B2">
      <w:start w:val="1"/>
      <w:numFmt w:val="bullet"/>
      <w:lvlText w:val=""/>
      <w:lvlJc w:val="left"/>
      <w:pPr>
        <w:ind w:left="1117" w:hanging="360"/>
      </w:pPr>
      <w:rPr>
        <w:rFonts w:ascii="Wingdings" w:hAnsi="Wingdings" w:hint="default"/>
        <w:color w:val="5ABEC1"/>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5" w15:restartNumberingAfterBreak="0">
    <w:nsid w:val="34892431"/>
    <w:multiLevelType w:val="hybridMultilevel"/>
    <w:tmpl w:val="479C78E4"/>
    <w:lvl w:ilvl="0" w:tplc="F0F810B2">
      <w:start w:val="1"/>
      <w:numFmt w:val="bullet"/>
      <w:lvlText w:val=""/>
      <w:lvlJc w:val="left"/>
      <w:pPr>
        <w:ind w:left="1117" w:hanging="360"/>
      </w:pPr>
      <w:rPr>
        <w:rFonts w:ascii="Wingdings" w:hAnsi="Wingdings" w:hint="default"/>
        <w:color w:val="5ABEC1"/>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6" w15:restartNumberingAfterBreak="0">
    <w:nsid w:val="34F42D9A"/>
    <w:multiLevelType w:val="hybridMultilevel"/>
    <w:tmpl w:val="67907E0A"/>
    <w:lvl w:ilvl="0" w:tplc="F0F810B2">
      <w:start w:val="1"/>
      <w:numFmt w:val="bullet"/>
      <w:lvlText w:val=""/>
      <w:lvlJc w:val="left"/>
      <w:pPr>
        <w:ind w:left="720" w:hanging="360"/>
      </w:pPr>
      <w:rPr>
        <w:rFonts w:ascii="Wingdings" w:hAnsi="Wingdings" w:hint="default"/>
        <w:color w:val="5ABEC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07B06"/>
    <w:multiLevelType w:val="hybridMultilevel"/>
    <w:tmpl w:val="D6947D6A"/>
    <w:lvl w:ilvl="0" w:tplc="F0F810B2">
      <w:start w:val="1"/>
      <w:numFmt w:val="bullet"/>
      <w:lvlText w:val=""/>
      <w:lvlJc w:val="left"/>
      <w:pPr>
        <w:ind w:left="-250" w:hanging="360"/>
      </w:pPr>
      <w:rPr>
        <w:rFonts w:ascii="Wingdings" w:hAnsi="Wingdings" w:hint="default"/>
        <w:color w:val="5ABEC1"/>
      </w:rPr>
    </w:lvl>
    <w:lvl w:ilvl="1" w:tplc="B56212A8">
      <w:start w:val="1"/>
      <w:numFmt w:val="bullet"/>
      <w:lvlText w:val="-"/>
      <w:lvlJc w:val="left"/>
      <w:pPr>
        <w:tabs>
          <w:tab w:val="num" w:pos="470"/>
        </w:tabs>
        <w:ind w:left="470" w:hanging="360"/>
      </w:pPr>
      <w:rPr>
        <w:rFonts w:ascii="Arial" w:hAnsi="Arial" w:hint="default"/>
      </w:rPr>
    </w:lvl>
    <w:lvl w:ilvl="2" w:tplc="044E8D52" w:tentative="1">
      <w:start w:val="1"/>
      <w:numFmt w:val="bullet"/>
      <w:lvlText w:val="-"/>
      <w:lvlJc w:val="left"/>
      <w:pPr>
        <w:tabs>
          <w:tab w:val="num" w:pos="1190"/>
        </w:tabs>
        <w:ind w:left="1190" w:hanging="360"/>
      </w:pPr>
      <w:rPr>
        <w:rFonts w:ascii="Arial" w:hAnsi="Arial" w:hint="default"/>
      </w:rPr>
    </w:lvl>
    <w:lvl w:ilvl="3" w:tplc="EBFCB33E" w:tentative="1">
      <w:start w:val="1"/>
      <w:numFmt w:val="bullet"/>
      <w:lvlText w:val="-"/>
      <w:lvlJc w:val="left"/>
      <w:pPr>
        <w:tabs>
          <w:tab w:val="num" w:pos="1910"/>
        </w:tabs>
        <w:ind w:left="1910" w:hanging="360"/>
      </w:pPr>
      <w:rPr>
        <w:rFonts w:ascii="Arial" w:hAnsi="Arial" w:hint="default"/>
      </w:rPr>
    </w:lvl>
    <w:lvl w:ilvl="4" w:tplc="CD14F418" w:tentative="1">
      <w:start w:val="1"/>
      <w:numFmt w:val="bullet"/>
      <w:lvlText w:val="-"/>
      <w:lvlJc w:val="left"/>
      <w:pPr>
        <w:tabs>
          <w:tab w:val="num" w:pos="2630"/>
        </w:tabs>
        <w:ind w:left="2630" w:hanging="360"/>
      </w:pPr>
      <w:rPr>
        <w:rFonts w:ascii="Arial" w:hAnsi="Arial" w:hint="default"/>
      </w:rPr>
    </w:lvl>
    <w:lvl w:ilvl="5" w:tplc="081A200C" w:tentative="1">
      <w:start w:val="1"/>
      <w:numFmt w:val="bullet"/>
      <w:lvlText w:val="-"/>
      <w:lvlJc w:val="left"/>
      <w:pPr>
        <w:tabs>
          <w:tab w:val="num" w:pos="3350"/>
        </w:tabs>
        <w:ind w:left="3350" w:hanging="360"/>
      </w:pPr>
      <w:rPr>
        <w:rFonts w:ascii="Arial" w:hAnsi="Arial" w:hint="default"/>
      </w:rPr>
    </w:lvl>
    <w:lvl w:ilvl="6" w:tplc="C1686E0A" w:tentative="1">
      <w:start w:val="1"/>
      <w:numFmt w:val="bullet"/>
      <w:lvlText w:val="-"/>
      <w:lvlJc w:val="left"/>
      <w:pPr>
        <w:tabs>
          <w:tab w:val="num" w:pos="4070"/>
        </w:tabs>
        <w:ind w:left="4070" w:hanging="360"/>
      </w:pPr>
      <w:rPr>
        <w:rFonts w:ascii="Arial" w:hAnsi="Arial" w:hint="default"/>
      </w:rPr>
    </w:lvl>
    <w:lvl w:ilvl="7" w:tplc="EB049434" w:tentative="1">
      <w:start w:val="1"/>
      <w:numFmt w:val="bullet"/>
      <w:lvlText w:val="-"/>
      <w:lvlJc w:val="left"/>
      <w:pPr>
        <w:tabs>
          <w:tab w:val="num" w:pos="4790"/>
        </w:tabs>
        <w:ind w:left="4790" w:hanging="360"/>
      </w:pPr>
      <w:rPr>
        <w:rFonts w:ascii="Arial" w:hAnsi="Arial" w:hint="default"/>
      </w:rPr>
    </w:lvl>
    <w:lvl w:ilvl="8" w:tplc="2F8EE088" w:tentative="1">
      <w:start w:val="1"/>
      <w:numFmt w:val="bullet"/>
      <w:lvlText w:val="-"/>
      <w:lvlJc w:val="left"/>
      <w:pPr>
        <w:tabs>
          <w:tab w:val="num" w:pos="5510"/>
        </w:tabs>
        <w:ind w:left="5510" w:hanging="360"/>
      </w:pPr>
      <w:rPr>
        <w:rFonts w:ascii="Arial" w:hAnsi="Arial" w:hint="default"/>
      </w:rPr>
    </w:lvl>
  </w:abstractNum>
  <w:abstractNum w:abstractNumId="8" w15:restartNumberingAfterBreak="0">
    <w:nsid w:val="40524210"/>
    <w:multiLevelType w:val="hybridMultilevel"/>
    <w:tmpl w:val="2D068E0E"/>
    <w:lvl w:ilvl="0" w:tplc="F0F810B2">
      <w:start w:val="1"/>
      <w:numFmt w:val="bullet"/>
      <w:lvlText w:val=""/>
      <w:lvlJc w:val="left"/>
      <w:pPr>
        <w:ind w:left="1117" w:hanging="360"/>
      </w:pPr>
      <w:rPr>
        <w:rFonts w:ascii="Wingdings" w:hAnsi="Wingdings" w:hint="default"/>
        <w:color w:val="5ABEC1"/>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9" w15:restartNumberingAfterBreak="0">
    <w:nsid w:val="563A3A2C"/>
    <w:multiLevelType w:val="multilevel"/>
    <w:tmpl w:val="3D507986"/>
    <w:lvl w:ilvl="0">
      <w:start w:val="1"/>
      <w:numFmt w:val="decimal"/>
      <w:pStyle w:val="Heading1"/>
      <w:lvlText w:val="%1."/>
      <w:lvlJc w:val="left"/>
      <w:pPr>
        <w:ind w:left="39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AF93CFF"/>
    <w:multiLevelType w:val="hybridMultilevel"/>
    <w:tmpl w:val="DA069D08"/>
    <w:lvl w:ilvl="0" w:tplc="826AA4E8">
      <w:numFmt w:val="bullet"/>
      <w:lvlText w:val=""/>
      <w:lvlJc w:val="left"/>
      <w:pPr>
        <w:ind w:left="757" w:hanging="360"/>
      </w:pPr>
      <w:rPr>
        <w:rFonts w:ascii="Wingdings" w:eastAsia="Times New Roman" w:hAnsi="Wingdings" w:cs="Times New Roman"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1" w15:restartNumberingAfterBreak="0">
    <w:nsid w:val="5C864DA0"/>
    <w:multiLevelType w:val="hybridMultilevel"/>
    <w:tmpl w:val="75F0DB1E"/>
    <w:lvl w:ilvl="0" w:tplc="F0F810B2">
      <w:start w:val="1"/>
      <w:numFmt w:val="bullet"/>
      <w:lvlText w:val=""/>
      <w:lvlJc w:val="left"/>
      <w:pPr>
        <w:ind w:left="1117" w:hanging="360"/>
      </w:pPr>
      <w:rPr>
        <w:rFonts w:ascii="Wingdings" w:hAnsi="Wingdings" w:hint="default"/>
        <w:color w:val="5ABEC1"/>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12" w15:restartNumberingAfterBreak="0">
    <w:nsid w:val="611E071E"/>
    <w:multiLevelType w:val="hybridMultilevel"/>
    <w:tmpl w:val="668C9BE2"/>
    <w:lvl w:ilvl="0" w:tplc="AED0D4EE">
      <w:start w:val="1"/>
      <w:numFmt w:val="bullet"/>
      <w:pStyle w:val="FipraBullets"/>
      <w:lvlText w:val=""/>
      <w:lvlJc w:val="left"/>
      <w:pPr>
        <w:ind w:left="-351" w:hanging="360"/>
      </w:pPr>
      <w:rPr>
        <w:rFonts w:ascii="Wingdings" w:hAnsi="Wingdings" w:hint="default"/>
        <w:color w:val="00257F"/>
      </w:rPr>
    </w:lvl>
    <w:lvl w:ilvl="1" w:tplc="08090003">
      <w:start w:val="1"/>
      <w:numFmt w:val="bullet"/>
      <w:lvlText w:val="o"/>
      <w:lvlJc w:val="left"/>
      <w:pPr>
        <w:ind w:left="369" w:hanging="360"/>
      </w:pPr>
      <w:rPr>
        <w:rFonts w:ascii="Courier New" w:hAnsi="Courier New" w:cs="Courier New" w:hint="default"/>
      </w:rPr>
    </w:lvl>
    <w:lvl w:ilvl="2" w:tplc="08090005">
      <w:start w:val="1"/>
      <w:numFmt w:val="bullet"/>
      <w:lvlText w:val=""/>
      <w:lvlJc w:val="left"/>
      <w:pPr>
        <w:ind w:left="1089" w:hanging="360"/>
      </w:pPr>
      <w:rPr>
        <w:rFonts w:ascii="Wingdings" w:hAnsi="Wingdings" w:hint="default"/>
      </w:rPr>
    </w:lvl>
    <w:lvl w:ilvl="3" w:tplc="08090001" w:tentative="1">
      <w:start w:val="1"/>
      <w:numFmt w:val="bullet"/>
      <w:lvlText w:val=""/>
      <w:lvlJc w:val="left"/>
      <w:pPr>
        <w:ind w:left="1809" w:hanging="360"/>
      </w:pPr>
      <w:rPr>
        <w:rFonts w:ascii="Symbol" w:hAnsi="Symbol" w:hint="default"/>
      </w:rPr>
    </w:lvl>
    <w:lvl w:ilvl="4" w:tplc="08090003" w:tentative="1">
      <w:start w:val="1"/>
      <w:numFmt w:val="bullet"/>
      <w:lvlText w:val="o"/>
      <w:lvlJc w:val="left"/>
      <w:pPr>
        <w:ind w:left="2529" w:hanging="360"/>
      </w:pPr>
      <w:rPr>
        <w:rFonts w:ascii="Courier New" w:hAnsi="Courier New" w:cs="Courier New" w:hint="default"/>
      </w:rPr>
    </w:lvl>
    <w:lvl w:ilvl="5" w:tplc="08090005" w:tentative="1">
      <w:start w:val="1"/>
      <w:numFmt w:val="bullet"/>
      <w:lvlText w:val=""/>
      <w:lvlJc w:val="left"/>
      <w:pPr>
        <w:ind w:left="3249" w:hanging="360"/>
      </w:pPr>
      <w:rPr>
        <w:rFonts w:ascii="Wingdings" w:hAnsi="Wingdings" w:hint="default"/>
      </w:rPr>
    </w:lvl>
    <w:lvl w:ilvl="6" w:tplc="08090001" w:tentative="1">
      <w:start w:val="1"/>
      <w:numFmt w:val="bullet"/>
      <w:lvlText w:val=""/>
      <w:lvlJc w:val="left"/>
      <w:pPr>
        <w:ind w:left="3969" w:hanging="360"/>
      </w:pPr>
      <w:rPr>
        <w:rFonts w:ascii="Symbol" w:hAnsi="Symbol" w:hint="default"/>
      </w:rPr>
    </w:lvl>
    <w:lvl w:ilvl="7" w:tplc="08090003" w:tentative="1">
      <w:start w:val="1"/>
      <w:numFmt w:val="bullet"/>
      <w:lvlText w:val="o"/>
      <w:lvlJc w:val="left"/>
      <w:pPr>
        <w:ind w:left="4689" w:hanging="360"/>
      </w:pPr>
      <w:rPr>
        <w:rFonts w:ascii="Courier New" w:hAnsi="Courier New" w:cs="Courier New" w:hint="default"/>
      </w:rPr>
    </w:lvl>
    <w:lvl w:ilvl="8" w:tplc="08090005" w:tentative="1">
      <w:start w:val="1"/>
      <w:numFmt w:val="bullet"/>
      <w:lvlText w:val=""/>
      <w:lvlJc w:val="left"/>
      <w:pPr>
        <w:ind w:left="5409" w:hanging="360"/>
      </w:pPr>
      <w:rPr>
        <w:rFonts w:ascii="Wingdings" w:hAnsi="Wingdings" w:hint="default"/>
      </w:rPr>
    </w:lvl>
  </w:abstractNum>
  <w:abstractNum w:abstractNumId="13" w15:restartNumberingAfterBreak="0">
    <w:nsid w:val="6D1E645C"/>
    <w:multiLevelType w:val="hybridMultilevel"/>
    <w:tmpl w:val="EB92D540"/>
    <w:lvl w:ilvl="0" w:tplc="669AA090">
      <w:start w:val="1"/>
      <w:numFmt w:val="bullet"/>
      <w:lvlText w:val=""/>
      <w:lvlJc w:val="left"/>
      <w:pPr>
        <w:ind w:left="360" w:hanging="360"/>
      </w:pPr>
      <w:rPr>
        <w:rFonts w:ascii="Wingdings" w:hAnsi="Wingdings" w:hint="default"/>
        <w:color w:val="047B7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4CF6CEB"/>
    <w:multiLevelType w:val="hybridMultilevel"/>
    <w:tmpl w:val="71CE4786"/>
    <w:lvl w:ilvl="0" w:tplc="7DD60E94">
      <w:start w:val="1"/>
      <w:numFmt w:val="bullet"/>
      <w:lvlText w:val="-"/>
      <w:lvlJc w:val="left"/>
      <w:pPr>
        <w:tabs>
          <w:tab w:val="num" w:pos="-250"/>
        </w:tabs>
        <w:ind w:left="-250" w:hanging="360"/>
      </w:pPr>
      <w:rPr>
        <w:rFonts w:ascii="Arial" w:hAnsi="Arial" w:hint="default"/>
      </w:rPr>
    </w:lvl>
    <w:lvl w:ilvl="1" w:tplc="F0F810B2">
      <w:start w:val="1"/>
      <w:numFmt w:val="bullet"/>
      <w:lvlText w:val=""/>
      <w:lvlJc w:val="left"/>
      <w:pPr>
        <w:ind w:left="-250" w:hanging="360"/>
      </w:pPr>
      <w:rPr>
        <w:rFonts w:ascii="Wingdings" w:hAnsi="Wingdings" w:hint="default"/>
        <w:color w:val="5ABEC1"/>
      </w:rPr>
    </w:lvl>
    <w:lvl w:ilvl="2" w:tplc="044E8D52" w:tentative="1">
      <w:start w:val="1"/>
      <w:numFmt w:val="bullet"/>
      <w:lvlText w:val="-"/>
      <w:lvlJc w:val="left"/>
      <w:pPr>
        <w:tabs>
          <w:tab w:val="num" w:pos="1190"/>
        </w:tabs>
        <w:ind w:left="1190" w:hanging="360"/>
      </w:pPr>
      <w:rPr>
        <w:rFonts w:ascii="Arial" w:hAnsi="Arial" w:hint="default"/>
      </w:rPr>
    </w:lvl>
    <w:lvl w:ilvl="3" w:tplc="EBFCB33E" w:tentative="1">
      <w:start w:val="1"/>
      <w:numFmt w:val="bullet"/>
      <w:lvlText w:val="-"/>
      <w:lvlJc w:val="left"/>
      <w:pPr>
        <w:tabs>
          <w:tab w:val="num" w:pos="1910"/>
        </w:tabs>
        <w:ind w:left="1910" w:hanging="360"/>
      </w:pPr>
      <w:rPr>
        <w:rFonts w:ascii="Arial" w:hAnsi="Arial" w:hint="default"/>
      </w:rPr>
    </w:lvl>
    <w:lvl w:ilvl="4" w:tplc="CD14F418" w:tentative="1">
      <w:start w:val="1"/>
      <w:numFmt w:val="bullet"/>
      <w:lvlText w:val="-"/>
      <w:lvlJc w:val="left"/>
      <w:pPr>
        <w:tabs>
          <w:tab w:val="num" w:pos="2630"/>
        </w:tabs>
        <w:ind w:left="2630" w:hanging="360"/>
      </w:pPr>
      <w:rPr>
        <w:rFonts w:ascii="Arial" w:hAnsi="Arial" w:hint="default"/>
      </w:rPr>
    </w:lvl>
    <w:lvl w:ilvl="5" w:tplc="081A200C" w:tentative="1">
      <w:start w:val="1"/>
      <w:numFmt w:val="bullet"/>
      <w:lvlText w:val="-"/>
      <w:lvlJc w:val="left"/>
      <w:pPr>
        <w:tabs>
          <w:tab w:val="num" w:pos="3350"/>
        </w:tabs>
        <w:ind w:left="3350" w:hanging="360"/>
      </w:pPr>
      <w:rPr>
        <w:rFonts w:ascii="Arial" w:hAnsi="Arial" w:hint="default"/>
      </w:rPr>
    </w:lvl>
    <w:lvl w:ilvl="6" w:tplc="C1686E0A" w:tentative="1">
      <w:start w:val="1"/>
      <w:numFmt w:val="bullet"/>
      <w:lvlText w:val="-"/>
      <w:lvlJc w:val="left"/>
      <w:pPr>
        <w:tabs>
          <w:tab w:val="num" w:pos="4070"/>
        </w:tabs>
        <w:ind w:left="4070" w:hanging="360"/>
      </w:pPr>
      <w:rPr>
        <w:rFonts w:ascii="Arial" w:hAnsi="Arial" w:hint="default"/>
      </w:rPr>
    </w:lvl>
    <w:lvl w:ilvl="7" w:tplc="EB049434" w:tentative="1">
      <w:start w:val="1"/>
      <w:numFmt w:val="bullet"/>
      <w:lvlText w:val="-"/>
      <w:lvlJc w:val="left"/>
      <w:pPr>
        <w:tabs>
          <w:tab w:val="num" w:pos="4790"/>
        </w:tabs>
        <w:ind w:left="4790" w:hanging="360"/>
      </w:pPr>
      <w:rPr>
        <w:rFonts w:ascii="Arial" w:hAnsi="Arial" w:hint="default"/>
      </w:rPr>
    </w:lvl>
    <w:lvl w:ilvl="8" w:tplc="2F8EE088" w:tentative="1">
      <w:start w:val="1"/>
      <w:numFmt w:val="bullet"/>
      <w:lvlText w:val="-"/>
      <w:lvlJc w:val="left"/>
      <w:pPr>
        <w:tabs>
          <w:tab w:val="num" w:pos="5510"/>
        </w:tabs>
        <w:ind w:left="5510" w:hanging="360"/>
      </w:pPr>
      <w:rPr>
        <w:rFonts w:ascii="Arial" w:hAnsi="Arial" w:hint="default"/>
      </w:rPr>
    </w:lvl>
  </w:abstractNum>
  <w:num w:numId="1">
    <w:abstractNumId w:val="12"/>
  </w:num>
  <w:num w:numId="2">
    <w:abstractNumId w:val="9"/>
  </w:num>
  <w:num w:numId="3">
    <w:abstractNumId w:val="11"/>
  </w:num>
  <w:num w:numId="4">
    <w:abstractNumId w:val="0"/>
  </w:num>
  <w:num w:numId="5">
    <w:abstractNumId w:val="5"/>
  </w:num>
  <w:num w:numId="6">
    <w:abstractNumId w:val="4"/>
  </w:num>
  <w:num w:numId="7">
    <w:abstractNumId w:val="8"/>
  </w:num>
  <w:num w:numId="8">
    <w:abstractNumId w:val="1"/>
  </w:num>
  <w:num w:numId="9">
    <w:abstractNumId w:val="3"/>
  </w:num>
  <w:num w:numId="10">
    <w:abstractNumId w:val="7"/>
  </w:num>
  <w:num w:numId="11">
    <w:abstractNumId w:val="14"/>
  </w:num>
  <w:num w:numId="12">
    <w:abstractNumId w:val="2"/>
  </w:num>
  <w:num w:numId="13">
    <w:abstractNumId w:val="6"/>
  </w:num>
  <w:num w:numId="14">
    <w:abstractNumId w:val="13"/>
  </w:num>
  <w:num w:numId="1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F47"/>
    <w:rsid w:val="00002100"/>
    <w:rsid w:val="00011630"/>
    <w:rsid w:val="0001476E"/>
    <w:rsid w:val="000224A7"/>
    <w:rsid w:val="000279A3"/>
    <w:rsid w:val="00033339"/>
    <w:rsid w:val="000349D4"/>
    <w:rsid w:val="00036EA9"/>
    <w:rsid w:val="000434E0"/>
    <w:rsid w:val="00047EEC"/>
    <w:rsid w:val="00050016"/>
    <w:rsid w:val="00050256"/>
    <w:rsid w:val="000507EA"/>
    <w:rsid w:val="0005461C"/>
    <w:rsid w:val="0006356C"/>
    <w:rsid w:val="00063E75"/>
    <w:rsid w:val="00065A22"/>
    <w:rsid w:val="00073FC2"/>
    <w:rsid w:val="00077F60"/>
    <w:rsid w:val="00082A18"/>
    <w:rsid w:val="0008781A"/>
    <w:rsid w:val="000904BA"/>
    <w:rsid w:val="000929ED"/>
    <w:rsid w:val="000946D1"/>
    <w:rsid w:val="00097A51"/>
    <w:rsid w:val="000A3523"/>
    <w:rsid w:val="000B6EC6"/>
    <w:rsid w:val="000C04F6"/>
    <w:rsid w:val="000C7F83"/>
    <w:rsid w:val="000D1AB2"/>
    <w:rsid w:val="000D3F24"/>
    <w:rsid w:val="000D4D52"/>
    <w:rsid w:val="000D5A21"/>
    <w:rsid w:val="000D6AF5"/>
    <w:rsid w:val="000E2C4B"/>
    <w:rsid w:val="000E3062"/>
    <w:rsid w:val="000E361A"/>
    <w:rsid w:val="000F365F"/>
    <w:rsid w:val="000F6294"/>
    <w:rsid w:val="000F65A0"/>
    <w:rsid w:val="000F6BA7"/>
    <w:rsid w:val="00101ED3"/>
    <w:rsid w:val="0010564B"/>
    <w:rsid w:val="001068E3"/>
    <w:rsid w:val="00110A0E"/>
    <w:rsid w:val="0011367A"/>
    <w:rsid w:val="00117746"/>
    <w:rsid w:val="00117BB3"/>
    <w:rsid w:val="0012010E"/>
    <w:rsid w:val="00120FA7"/>
    <w:rsid w:val="001274E9"/>
    <w:rsid w:val="0013142F"/>
    <w:rsid w:val="00133DC8"/>
    <w:rsid w:val="00134B94"/>
    <w:rsid w:val="001375F8"/>
    <w:rsid w:val="00141005"/>
    <w:rsid w:val="00151333"/>
    <w:rsid w:val="00153993"/>
    <w:rsid w:val="0015681C"/>
    <w:rsid w:val="001633B4"/>
    <w:rsid w:val="001720D1"/>
    <w:rsid w:val="00180DB9"/>
    <w:rsid w:val="0018126D"/>
    <w:rsid w:val="00183CCD"/>
    <w:rsid w:val="001851CA"/>
    <w:rsid w:val="0019089F"/>
    <w:rsid w:val="0019488F"/>
    <w:rsid w:val="001952CE"/>
    <w:rsid w:val="00196200"/>
    <w:rsid w:val="001A238E"/>
    <w:rsid w:val="001A2FF8"/>
    <w:rsid w:val="001A598D"/>
    <w:rsid w:val="001D2164"/>
    <w:rsid w:val="001D3876"/>
    <w:rsid w:val="001D4463"/>
    <w:rsid w:val="001D595C"/>
    <w:rsid w:val="001E01BF"/>
    <w:rsid w:val="001E1D23"/>
    <w:rsid w:val="001E3E4D"/>
    <w:rsid w:val="001E48DD"/>
    <w:rsid w:val="001E4F94"/>
    <w:rsid w:val="001E652D"/>
    <w:rsid w:val="001E702E"/>
    <w:rsid w:val="001F54F0"/>
    <w:rsid w:val="00204D5D"/>
    <w:rsid w:val="00206144"/>
    <w:rsid w:val="00213143"/>
    <w:rsid w:val="0021518D"/>
    <w:rsid w:val="002211AB"/>
    <w:rsid w:val="00225518"/>
    <w:rsid w:val="00225769"/>
    <w:rsid w:val="00230600"/>
    <w:rsid w:val="002315B3"/>
    <w:rsid w:val="0023248F"/>
    <w:rsid w:val="0023619A"/>
    <w:rsid w:val="002420FF"/>
    <w:rsid w:val="00242ED4"/>
    <w:rsid w:val="00243DB2"/>
    <w:rsid w:val="002463D6"/>
    <w:rsid w:val="0025041A"/>
    <w:rsid w:val="002532C3"/>
    <w:rsid w:val="0025612A"/>
    <w:rsid w:val="002564E2"/>
    <w:rsid w:val="002629F6"/>
    <w:rsid w:val="002651FB"/>
    <w:rsid w:val="00267BDF"/>
    <w:rsid w:val="00274F61"/>
    <w:rsid w:val="00281321"/>
    <w:rsid w:val="00286AD0"/>
    <w:rsid w:val="00290A1D"/>
    <w:rsid w:val="00297040"/>
    <w:rsid w:val="002B0A98"/>
    <w:rsid w:val="002B2145"/>
    <w:rsid w:val="002B6551"/>
    <w:rsid w:val="002D0164"/>
    <w:rsid w:val="002D0C18"/>
    <w:rsid w:val="002D3293"/>
    <w:rsid w:val="002D4B84"/>
    <w:rsid w:val="002E1298"/>
    <w:rsid w:val="002E3376"/>
    <w:rsid w:val="002E482D"/>
    <w:rsid w:val="002E58C4"/>
    <w:rsid w:val="002F3D1A"/>
    <w:rsid w:val="002F56AB"/>
    <w:rsid w:val="002F7509"/>
    <w:rsid w:val="003064D1"/>
    <w:rsid w:val="003179C8"/>
    <w:rsid w:val="00320F41"/>
    <w:rsid w:val="00322D82"/>
    <w:rsid w:val="00326354"/>
    <w:rsid w:val="00326E0D"/>
    <w:rsid w:val="00330F2D"/>
    <w:rsid w:val="003319BD"/>
    <w:rsid w:val="00335483"/>
    <w:rsid w:val="003368FD"/>
    <w:rsid w:val="003437FF"/>
    <w:rsid w:val="003457B2"/>
    <w:rsid w:val="003468CF"/>
    <w:rsid w:val="00350D96"/>
    <w:rsid w:val="00355B98"/>
    <w:rsid w:val="003647AF"/>
    <w:rsid w:val="00367F4D"/>
    <w:rsid w:val="00371EED"/>
    <w:rsid w:val="003854AA"/>
    <w:rsid w:val="0038750E"/>
    <w:rsid w:val="00393028"/>
    <w:rsid w:val="003949BF"/>
    <w:rsid w:val="00397EC7"/>
    <w:rsid w:val="003A1EA3"/>
    <w:rsid w:val="003A4760"/>
    <w:rsid w:val="003A6ACA"/>
    <w:rsid w:val="003B1327"/>
    <w:rsid w:val="003B2BEA"/>
    <w:rsid w:val="003B371E"/>
    <w:rsid w:val="003B3B86"/>
    <w:rsid w:val="003B3EAE"/>
    <w:rsid w:val="003B4340"/>
    <w:rsid w:val="003B5AA6"/>
    <w:rsid w:val="003C033F"/>
    <w:rsid w:val="003C2A00"/>
    <w:rsid w:val="003D3B74"/>
    <w:rsid w:val="003E246B"/>
    <w:rsid w:val="003E2D74"/>
    <w:rsid w:val="003E343A"/>
    <w:rsid w:val="003E6B8A"/>
    <w:rsid w:val="003E789C"/>
    <w:rsid w:val="003F00F3"/>
    <w:rsid w:val="003F13ED"/>
    <w:rsid w:val="003F374B"/>
    <w:rsid w:val="003F39E7"/>
    <w:rsid w:val="003F5F4E"/>
    <w:rsid w:val="00406AF0"/>
    <w:rsid w:val="00406F1D"/>
    <w:rsid w:val="00412A2C"/>
    <w:rsid w:val="00416C1C"/>
    <w:rsid w:val="00422515"/>
    <w:rsid w:val="00432B4A"/>
    <w:rsid w:val="00433B50"/>
    <w:rsid w:val="004367F2"/>
    <w:rsid w:val="00436DCD"/>
    <w:rsid w:val="00446577"/>
    <w:rsid w:val="00446706"/>
    <w:rsid w:val="00450662"/>
    <w:rsid w:val="00451E51"/>
    <w:rsid w:val="00452E5C"/>
    <w:rsid w:val="00453BB3"/>
    <w:rsid w:val="0045619F"/>
    <w:rsid w:val="004575F9"/>
    <w:rsid w:val="004618EA"/>
    <w:rsid w:val="0046315E"/>
    <w:rsid w:val="00463BE0"/>
    <w:rsid w:val="00464328"/>
    <w:rsid w:val="004660D1"/>
    <w:rsid w:val="00467D81"/>
    <w:rsid w:val="004704CA"/>
    <w:rsid w:val="0047295A"/>
    <w:rsid w:val="004758B8"/>
    <w:rsid w:val="00476034"/>
    <w:rsid w:val="00482B56"/>
    <w:rsid w:val="0048563B"/>
    <w:rsid w:val="00491995"/>
    <w:rsid w:val="0049341F"/>
    <w:rsid w:val="00497294"/>
    <w:rsid w:val="004A0E5E"/>
    <w:rsid w:val="004A47A3"/>
    <w:rsid w:val="004B1C04"/>
    <w:rsid w:val="004C3DE2"/>
    <w:rsid w:val="004C41F4"/>
    <w:rsid w:val="004C517F"/>
    <w:rsid w:val="004C7252"/>
    <w:rsid w:val="004E404B"/>
    <w:rsid w:val="004E4B8B"/>
    <w:rsid w:val="004E6B4D"/>
    <w:rsid w:val="004E703B"/>
    <w:rsid w:val="00501431"/>
    <w:rsid w:val="00501A54"/>
    <w:rsid w:val="00505D20"/>
    <w:rsid w:val="0050795F"/>
    <w:rsid w:val="00507B2F"/>
    <w:rsid w:val="0051421B"/>
    <w:rsid w:val="005159C9"/>
    <w:rsid w:val="00521DFF"/>
    <w:rsid w:val="0052515C"/>
    <w:rsid w:val="00525578"/>
    <w:rsid w:val="00525CB6"/>
    <w:rsid w:val="005272FB"/>
    <w:rsid w:val="005366FC"/>
    <w:rsid w:val="00536E74"/>
    <w:rsid w:val="00540E35"/>
    <w:rsid w:val="00560B31"/>
    <w:rsid w:val="00563123"/>
    <w:rsid w:val="00564F77"/>
    <w:rsid w:val="005661CC"/>
    <w:rsid w:val="0056662D"/>
    <w:rsid w:val="0056797D"/>
    <w:rsid w:val="00567A8A"/>
    <w:rsid w:val="005711A3"/>
    <w:rsid w:val="005719B8"/>
    <w:rsid w:val="00571EF5"/>
    <w:rsid w:val="0057312D"/>
    <w:rsid w:val="00575056"/>
    <w:rsid w:val="005779E2"/>
    <w:rsid w:val="00584092"/>
    <w:rsid w:val="00585E23"/>
    <w:rsid w:val="00591039"/>
    <w:rsid w:val="00591192"/>
    <w:rsid w:val="00592CB1"/>
    <w:rsid w:val="00594894"/>
    <w:rsid w:val="005967AF"/>
    <w:rsid w:val="005A2EC9"/>
    <w:rsid w:val="005B03B3"/>
    <w:rsid w:val="005B130B"/>
    <w:rsid w:val="005B1374"/>
    <w:rsid w:val="005B4E48"/>
    <w:rsid w:val="005C4C47"/>
    <w:rsid w:val="005C722E"/>
    <w:rsid w:val="005D17E5"/>
    <w:rsid w:val="005D2172"/>
    <w:rsid w:val="005D2C2A"/>
    <w:rsid w:val="005D67E8"/>
    <w:rsid w:val="005E1A35"/>
    <w:rsid w:val="005F21E3"/>
    <w:rsid w:val="005F232F"/>
    <w:rsid w:val="005F4772"/>
    <w:rsid w:val="005F477E"/>
    <w:rsid w:val="005F4ADC"/>
    <w:rsid w:val="005F7DAB"/>
    <w:rsid w:val="00600FAA"/>
    <w:rsid w:val="00604FB7"/>
    <w:rsid w:val="006066B8"/>
    <w:rsid w:val="00632A77"/>
    <w:rsid w:val="006419FF"/>
    <w:rsid w:val="00641B04"/>
    <w:rsid w:val="00642FC5"/>
    <w:rsid w:val="00643466"/>
    <w:rsid w:val="00654A5D"/>
    <w:rsid w:val="00654B34"/>
    <w:rsid w:val="00655FC6"/>
    <w:rsid w:val="00657F16"/>
    <w:rsid w:val="0066021C"/>
    <w:rsid w:val="006622E2"/>
    <w:rsid w:val="00662FB2"/>
    <w:rsid w:val="0066608A"/>
    <w:rsid w:val="00677757"/>
    <w:rsid w:val="006827C3"/>
    <w:rsid w:val="00686E0C"/>
    <w:rsid w:val="006872D6"/>
    <w:rsid w:val="00687DD6"/>
    <w:rsid w:val="00691585"/>
    <w:rsid w:val="00693A3A"/>
    <w:rsid w:val="006A647B"/>
    <w:rsid w:val="006B2A00"/>
    <w:rsid w:val="006B45F1"/>
    <w:rsid w:val="006B527D"/>
    <w:rsid w:val="006B6075"/>
    <w:rsid w:val="006C154E"/>
    <w:rsid w:val="006C2059"/>
    <w:rsid w:val="006C2BFA"/>
    <w:rsid w:val="006C589C"/>
    <w:rsid w:val="006D226F"/>
    <w:rsid w:val="006E162A"/>
    <w:rsid w:val="006E196D"/>
    <w:rsid w:val="006E2987"/>
    <w:rsid w:val="007007A6"/>
    <w:rsid w:val="00701034"/>
    <w:rsid w:val="00705EE3"/>
    <w:rsid w:val="00707109"/>
    <w:rsid w:val="007170E6"/>
    <w:rsid w:val="00717FDA"/>
    <w:rsid w:val="00720CA9"/>
    <w:rsid w:val="00721CF3"/>
    <w:rsid w:val="007253BB"/>
    <w:rsid w:val="00725682"/>
    <w:rsid w:val="007267A4"/>
    <w:rsid w:val="00730398"/>
    <w:rsid w:val="0073139B"/>
    <w:rsid w:val="007325DD"/>
    <w:rsid w:val="00734FDC"/>
    <w:rsid w:val="0073632E"/>
    <w:rsid w:val="007437D0"/>
    <w:rsid w:val="0074514B"/>
    <w:rsid w:val="0074686D"/>
    <w:rsid w:val="00755B69"/>
    <w:rsid w:val="0076035D"/>
    <w:rsid w:val="00764DBA"/>
    <w:rsid w:val="007663DA"/>
    <w:rsid w:val="007703EA"/>
    <w:rsid w:val="00771CB1"/>
    <w:rsid w:val="0077275E"/>
    <w:rsid w:val="007757AC"/>
    <w:rsid w:val="00775D24"/>
    <w:rsid w:val="00777881"/>
    <w:rsid w:val="00780A1C"/>
    <w:rsid w:val="00781854"/>
    <w:rsid w:val="0078186C"/>
    <w:rsid w:val="007863F1"/>
    <w:rsid w:val="00787A1E"/>
    <w:rsid w:val="00791512"/>
    <w:rsid w:val="007939BD"/>
    <w:rsid w:val="007A3793"/>
    <w:rsid w:val="007A57CC"/>
    <w:rsid w:val="007B0FA6"/>
    <w:rsid w:val="007B23FB"/>
    <w:rsid w:val="007B36B5"/>
    <w:rsid w:val="007B379B"/>
    <w:rsid w:val="007C1F39"/>
    <w:rsid w:val="007C651D"/>
    <w:rsid w:val="007C6728"/>
    <w:rsid w:val="007E3511"/>
    <w:rsid w:val="007E41C5"/>
    <w:rsid w:val="007E7EB0"/>
    <w:rsid w:val="007F342F"/>
    <w:rsid w:val="007F3715"/>
    <w:rsid w:val="00802E91"/>
    <w:rsid w:val="00804AC0"/>
    <w:rsid w:val="00806380"/>
    <w:rsid w:val="0080770A"/>
    <w:rsid w:val="008122A0"/>
    <w:rsid w:val="00812B20"/>
    <w:rsid w:val="008156E2"/>
    <w:rsid w:val="00816817"/>
    <w:rsid w:val="008225F7"/>
    <w:rsid w:val="00825E34"/>
    <w:rsid w:val="00841703"/>
    <w:rsid w:val="0084373D"/>
    <w:rsid w:val="00843743"/>
    <w:rsid w:val="00844438"/>
    <w:rsid w:val="00845C72"/>
    <w:rsid w:val="00851054"/>
    <w:rsid w:val="00851EE9"/>
    <w:rsid w:val="008606A7"/>
    <w:rsid w:val="0086211A"/>
    <w:rsid w:val="008621E0"/>
    <w:rsid w:val="00863004"/>
    <w:rsid w:val="00865979"/>
    <w:rsid w:val="00865B02"/>
    <w:rsid w:val="00867583"/>
    <w:rsid w:val="00870180"/>
    <w:rsid w:val="008718C2"/>
    <w:rsid w:val="00874265"/>
    <w:rsid w:val="00881CD6"/>
    <w:rsid w:val="00894D55"/>
    <w:rsid w:val="008965DF"/>
    <w:rsid w:val="00897D60"/>
    <w:rsid w:val="008A4B97"/>
    <w:rsid w:val="008A625F"/>
    <w:rsid w:val="008B1BD0"/>
    <w:rsid w:val="008C046D"/>
    <w:rsid w:val="008C1E93"/>
    <w:rsid w:val="008C2006"/>
    <w:rsid w:val="008C6B26"/>
    <w:rsid w:val="008D1AE6"/>
    <w:rsid w:val="008D2450"/>
    <w:rsid w:val="008D2686"/>
    <w:rsid w:val="008D57ED"/>
    <w:rsid w:val="008E06C9"/>
    <w:rsid w:val="008E2C20"/>
    <w:rsid w:val="008F1D5D"/>
    <w:rsid w:val="008F3ED2"/>
    <w:rsid w:val="00901A8E"/>
    <w:rsid w:val="009026CA"/>
    <w:rsid w:val="009028F1"/>
    <w:rsid w:val="0090294F"/>
    <w:rsid w:val="00904610"/>
    <w:rsid w:val="00904AF1"/>
    <w:rsid w:val="00915542"/>
    <w:rsid w:val="009205C4"/>
    <w:rsid w:val="00923108"/>
    <w:rsid w:val="00924227"/>
    <w:rsid w:val="0092492F"/>
    <w:rsid w:val="00930459"/>
    <w:rsid w:val="0093751F"/>
    <w:rsid w:val="009423B2"/>
    <w:rsid w:val="00944223"/>
    <w:rsid w:val="00952C75"/>
    <w:rsid w:val="009574DA"/>
    <w:rsid w:val="009639DC"/>
    <w:rsid w:val="00963DC1"/>
    <w:rsid w:val="00967F51"/>
    <w:rsid w:val="00970C43"/>
    <w:rsid w:val="00972B0E"/>
    <w:rsid w:val="0097772D"/>
    <w:rsid w:val="00980095"/>
    <w:rsid w:val="00980F49"/>
    <w:rsid w:val="009854C5"/>
    <w:rsid w:val="009956BC"/>
    <w:rsid w:val="009A0B5C"/>
    <w:rsid w:val="009B76F0"/>
    <w:rsid w:val="009C0395"/>
    <w:rsid w:val="009C0835"/>
    <w:rsid w:val="009C1E41"/>
    <w:rsid w:val="009C3E84"/>
    <w:rsid w:val="009C659C"/>
    <w:rsid w:val="009D1166"/>
    <w:rsid w:val="009D3EBA"/>
    <w:rsid w:val="009D4F47"/>
    <w:rsid w:val="009D6D7B"/>
    <w:rsid w:val="009E37AA"/>
    <w:rsid w:val="009E437E"/>
    <w:rsid w:val="009F2211"/>
    <w:rsid w:val="009F4961"/>
    <w:rsid w:val="00A05087"/>
    <w:rsid w:val="00A05AA4"/>
    <w:rsid w:val="00A05E60"/>
    <w:rsid w:val="00A079C6"/>
    <w:rsid w:val="00A1301B"/>
    <w:rsid w:val="00A13886"/>
    <w:rsid w:val="00A150DB"/>
    <w:rsid w:val="00A235AD"/>
    <w:rsid w:val="00A24E61"/>
    <w:rsid w:val="00A26719"/>
    <w:rsid w:val="00A3086E"/>
    <w:rsid w:val="00A3312C"/>
    <w:rsid w:val="00A36E0A"/>
    <w:rsid w:val="00A36E15"/>
    <w:rsid w:val="00A4243F"/>
    <w:rsid w:val="00A42A9D"/>
    <w:rsid w:val="00A42C30"/>
    <w:rsid w:val="00A42DFA"/>
    <w:rsid w:val="00A43D91"/>
    <w:rsid w:val="00A479BC"/>
    <w:rsid w:val="00A54DC0"/>
    <w:rsid w:val="00A67F91"/>
    <w:rsid w:val="00A72FC3"/>
    <w:rsid w:val="00A80D89"/>
    <w:rsid w:val="00A834A5"/>
    <w:rsid w:val="00A86EA1"/>
    <w:rsid w:val="00A91C83"/>
    <w:rsid w:val="00AA1D74"/>
    <w:rsid w:val="00AA2B80"/>
    <w:rsid w:val="00AA7980"/>
    <w:rsid w:val="00AA798E"/>
    <w:rsid w:val="00AB1862"/>
    <w:rsid w:val="00AD1A52"/>
    <w:rsid w:val="00AD312A"/>
    <w:rsid w:val="00AD7C19"/>
    <w:rsid w:val="00AE1CA3"/>
    <w:rsid w:val="00AE20B7"/>
    <w:rsid w:val="00AF03EF"/>
    <w:rsid w:val="00AF247E"/>
    <w:rsid w:val="00AF258C"/>
    <w:rsid w:val="00AF4022"/>
    <w:rsid w:val="00B000F4"/>
    <w:rsid w:val="00B0066B"/>
    <w:rsid w:val="00B036EA"/>
    <w:rsid w:val="00B03DB0"/>
    <w:rsid w:val="00B066EF"/>
    <w:rsid w:val="00B0672C"/>
    <w:rsid w:val="00B13E70"/>
    <w:rsid w:val="00B1543C"/>
    <w:rsid w:val="00B159A1"/>
    <w:rsid w:val="00B15B54"/>
    <w:rsid w:val="00B15C6D"/>
    <w:rsid w:val="00B208C7"/>
    <w:rsid w:val="00B21B20"/>
    <w:rsid w:val="00B23676"/>
    <w:rsid w:val="00B27B87"/>
    <w:rsid w:val="00B357D8"/>
    <w:rsid w:val="00B40C79"/>
    <w:rsid w:val="00B44F09"/>
    <w:rsid w:val="00B46842"/>
    <w:rsid w:val="00B47E8A"/>
    <w:rsid w:val="00B62B69"/>
    <w:rsid w:val="00B6324B"/>
    <w:rsid w:val="00B64B4D"/>
    <w:rsid w:val="00B663F5"/>
    <w:rsid w:val="00B67787"/>
    <w:rsid w:val="00B718E7"/>
    <w:rsid w:val="00B728F7"/>
    <w:rsid w:val="00B73776"/>
    <w:rsid w:val="00B76F21"/>
    <w:rsid w:val="00B927E6"/>
    <w:rsid w:val="00B9297A"/>
    <w:rsid w:val="00BA013E"/>
    <w:rsid w:val="00BA0659"/>
    <w:rsid w:val="00BA211E"/>
    <w:rsid w:val="00BA47D7"/>
    <w:rsid w:val="00BA5147"/>
    <w:rsid w:val="00BB3D7D"/>
    <w:rsid w:val="00BB5B77"/>
    <w:rsid w:val="00BC4882"/>
    <w:rsid w:val="00BC6E54"/>
    <w:rsid w:val="00BE305B"/>
    <w:rsid w:val="00BE4948"/>
    <w:rsid w:val="00BF17BD"/>
    <w:rsid w:val="00BF194D"/>
    <w:rsid w:val="00BF5035"/>
    <w:rsid w:val="00C0288C"/>
    <w:rsid w:val="00C065CD"/>
    <w:rsid w:val="00C072A0"/>
    <w:rsid w:val="00C07CA9"/>
    <w:rsid w:val="00C13395"/>
    <w:rsid w:val="00C13B32"/>
    <w:rsid w:val="00C1495A"/>
    <w:rsid w:val="00C16E84"/>
    <w:rsid w:val="00C26802"/>
    <w:rsid w:val="00C36F06"/>
    <w:rsid w:val="00C40DFA"/>
    <w:rsid w:val="00C4696D"/>
    <w:rsid w:val="00C46A76"/>
    <w:rsid w:val="00C525AE"/>
    <w:rsid w:val="00C536F7"/>
    <w:rsid w:val="00C55D11"/>
    <w:rsid w:val="00C63A6C"/>
    <w:rsid w:val="00C63BD7"/>
    <w:rsid w:val="00C746F7"/>
    <w:rsid w:val="00C75AB6"/>
    <w:rsid w:val="00C7658D"/>
    <w:rsid w:val="00C7704D"/>
    <w:rsid w:val="00C801DA"/>
    <w:rsid w:val="00C805EA"/>
    <w:rsid w:val="00C81F5D"/>
    <w:rsid w:val="00C832E7"/>
    <w:rsid w:val="00C85028"/>
    <w:rsid w:val="00C8573C"/>
    <w:rsid w:val="00C87FB8"/>
    <w:rsid w:val="00C91317"/>
    <w:rsid w:val="00C92550"/>
    <w:rsid w:val="00C95BCD"/>
    <w:rsid w:val="00C9792C"/>
    <w:rsid w:val="00CA13F6"/>
    <w:rsid w:val="00CA2600"/>
    <w:rsid w:val="00CA396C"/>
    <w:rsid w:val="00CA3EAD"/>
    <w:rsid w:val="00CA5DF5"/>
    <w:rsid w:val="00CA6540"/>
    <w:rsid w:val="00CB0F21"/>
    <w:rsid w:val="00CB2D46"/>
    <w:rsid w:val="00CB74CC"/>
    <w:rsid w:val="00CC10B9"/>
    <w:rsid w:val="00CC3AE5"/>
    <w:rsid w:val="00CD0BB0"/>
    <w:rsid w:val="00CD18D4"/>
    <w:rsid w:val="00CD4B17"/>
    <w:rsid w:val="00CE0F4D"/>
    <w:rsid w:val="00CE277C"/>
    <w:rsid w:val="00CE4AD3"/>
    <w:rsid w:val="00CF03C7"/>
    <w:rsid w:val="00CF288F"/>
    <w:rsid w:val="00D05FAE"/>
    <w:rsid w:val="00D13DCC"/>
    <w:rsid w:val="00D14DB7"/>
    <w:rsid w:val="00D1501A"/>
    <w:rsid w:val="00D17C5D"/>
    <w:rsid w:val="00D2348D"/>
    <w:rsid w:val="00D300DD"/>
    <w:rsid w:val="00D335D6"/>
    <w:rsid w:val="00D351ED"/>
    <w:rsid w:val="00D365E0"/>
    <w:rsid w:val="00D403AD"/>
    <w:rsid w:val="00D42A75"/>
    <w:rsid w:val="00D45DD8"/>
    <w:rsid w:val="00D50ECB"/>
    <w:rsid w:val="00D5109B"/>
    <w:rsid w:val="00D51488"/>
    <w:rsid w:val="00D52EC2"/>
    <w:rsid w:val="00D57288"/>
    <w:rsid w:val="00D6493B"/>
    <w:rsid w:val="00D67638"/>
    <w:rsid w:val="00D67D09"/>
    <w:rsid w:val="00D67F9F"/>
    <w:rsid w:val="00D722C0"/>
    <w:rsid w:val="00D73C8D"/>
    <w:rsid w:val="00D73E50"/>
    <w:rsid w:val="00D77125"/>
    <w:rsid w:val="00D8333B"/>
    <w:rsid w:val="00D8591E"/>
    <w:rsid w:val="00D92286"/>
    <w:rsid w:val="00D94EFD"/>
    <w:rsid w:val="00DA4311"/>
    <w:rsid w:val="00DA62C2"/>
    <w:rsid w:val="00DB3D53"/>
    <w:rsid w:val="00DB488F"/>
    <w:rsid w:val="00DB7069"/>
    <w:rsid w:val="00DC4408"/>
    <w:rsid w:val="00DC7022"/>
    <w:rsid w:val="00DC79D3"/>
    <w:rsid w:val="00DE29AF"/>
    <w:rsid w:val="00DE2CA9"/>
    <w:rsid w:val="00DE2F7A"/>
    <w:rsid w:val="00DE6B3B"/>
    <w:rsid w:val="00DF398F"/>
    <w:rsid w:val="00E004BD"/>
    <w:rsid w:val="00E00AD0"/>
    <w:rsid w:val="00E020EC"/>
    <w:rsid w:val="00E106E0"/>
    <w:rsid w:val="00E1225F"/>
    <w:rsid w:val="00E12AA1"/>
    <w:rsid w:val="00E15CAF"/>
    <w:rsid w:val="00E17958"/>
    <w:rsid w:val="00E2049D"/>
    <w:rsid w:val="00E20E63"/>
    <w:rsid w:val="00E24143"/>
    <w:rsid w:val="00E261E6"/>
    <w:rsid w:val="00E30892"/>
    <w:rsid w:val="00E30B3B"/>
    <w:rsid w:val="00E30B67"/>
    <w:rsid w:val="00E324BB"/>
    <w:rsid w:val="00E34032"/>
    <w:rsid w:val="00E36C3C"/>
    <w:rsid w:val="00E4145F"/>
    <w:rsid w:val="00E44B47"/>
    <w:rsid w:val="00E45467"/>
    <w:rsid w:val="00E460BF"/>
    <w:rsid w:val="00E47448"/>
    <w:rsid w:val="00E567E2"/>
    <w:rsid w:val="00E60DD9"/>
    <w:rsid w:val="00E7192C"/>
    <w:rsid w:val="00E72BB4"/>
    <w:rsid w:val="00E749CE"/>
    <w:rsid w:val="00E76057"/>
    <w:rsid w:val="00E81A73"/>
    <w:rsid w:val="00E81B5F"/>
    <w:rsid w:val="00E91DE7"/>
    <w:rsid w:val="00E93991"/>
    <w:rsid w:val="00E93E62"/>
    <w:rsid w:val="00E9683B"/>
    <w:rsid w:val="00EA052A"/>
    <w:rsid w:val="00EB3B9F"/>
    <w:rsid w:val="00EB598F"/>
    <w:rsid w:val="00EB7A1E"/>
    <w:rsid w:val="00EC1F9A"/>
    <w:rsid w:val="00EC65FD"/>
    <w:rsid w:val="00ED3995"/>
    <w:rsid w:val="00ED5EA3"/>
    <w:rsid w:val="00ED6354"/>
    <w:rsid w:val="00ED7060"/>
    <w:rsid w:val="00EE28E6"/>
    <w:rsid w:val="00EE2FED"/>
    <w:rsid w:val="00EE3DFD"/>
    <w:rsid w:val="00EE3F85"/>
    <w:rsid w:val="00EE52DF"/>
    <w:rsid w:val="00EE55C5"/>
    <w:rsid w:val="00F054CD"/>
    <w:rsid w:val="00F11B5E"/>
    <w:rsid w:val="00F2291E"/>
    <w:rsid w:val="00F30AA2"/>
    <w:rsid w:val="00F30F01"/>
    <w:rsid w:val="00F3298A"/>
    <w:rsid w:val="00F33ECA"/>
    <w:rsid w:val="00F35153"/>
    <w:rsid w:val="00F4036A"/>
    <w:rsid w:val="00F407B9"/>
    <w:rsid w:val="00F45A2C"/>
    <w:rsid w:val="00F47AE7"/>
    <w:rsid w:val="00F54ADC"/>
    <w:rsid w:val="00F55B86"/>
    <w:rsid w:val="00F652CF"/>
    <w:rsid w:val="00F73EDA"/>
    <w:rsid w:val="00F808EA"/>
    <w:rsid w:val="00F903DB"/>
    <w:rsid w:val="00F93786"/>
    <w:rsid w:val="00F95217"/>
    <w:rsid w:val="00F96296"/>
    <w:rsid w:val="00FA31A6"/>
    <w:rsid w:val="00FA4FA1"/>
    <w:rsid w:val="00FA57F5"/>
    <w:rsid w:val="00FB7174"/>
    <w:rsid w:val="00FC221F"/>
    <w:rsid w:val="00FC26D1"/>
    <w:rsid w:val="00FC2B60"/>
    <w:rsid w:val="00FC3DD9"/>
    <w:rsid w:val="00FE02F6"/>
    <w:rsid w:val="00FE3843"/>
    <w:rsid w:val="00FE5B1B"/>
    <w:rsid w:val="00FE6B7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761C68"/>
  <w15:docId w15:val="{A9183000-235D-4659-95C9-4640E110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8333B"/>
    <w:pPr>
      <w:spacing w:after="264" w:line="288" w:lineRule="auto"/>
      <w:ind w:left="397"/>
      <w:jc w:val="both"/>
    </w:pPr>
    <w:rPr>
      <w:rFonts w:ascii="Arial" w:hAnsi="Arial"/>
      <w:sz w:val="24"/>
      <w:szCs w:val="24"/>
    </w:rPr>
  </w:style>
  <w:style w:type="paragraph" w:styleId="Heading1">
    <w:name w:val="heading 1"/>
    <w:basedOn w:val="Heading2"/>
    <w:next w:val="Normal"/>
    <w:link w:val="Heading1Char"/>
    <w:qFormat/>
    <w:rsid w:val="0056797D"/>
    <w:pPr>
      <w:numPr>
        <w:numId w:val="2"/>
      </w:numPr>
      <w:jc w:val="left"/>
      <w:outlineLvl w:val="0"/>
    </w:pPr>
    <w:rPr>
      <w:color w:val="2683C6" w:themeColor="accent2"/>
    </w:rPr>
  </w:style>
  <w:style w:type="paragraph" w:styleId="Heading2">
    <w:name w:val="heading 2"/>
    <w:basedOn w:val="Normal"/>
    <w:next w:val="Normal"/>
    <w:link w:val="Heading2Char"/>
    <w:qFormat/>
    <w:rsid w:val="009D4F47"/>
    <w:pPr>
      <w:keepNext/>
      <w:keepLines/>
      <w:spacing w:after="200" w:line="276" w:lineRule="auto"/>
      <w:outlineLvl w:val="1"/>
    </w:pPr>
    <w:rPr>
      <w:rFonts w:eastAsia="Calibri" w:cs="Arial"/>
      <w:b/>
      <w:color w:val="1CADE4" w:themeColor="accent1"/>
      <w:sz w:val="28"/>
    </w:rPr>
  </w:style>
  <w:style w:type="paragraph" w:styleId="Heading3">
    <w:name w:val="heading 3"/>
    <w:basedOn w:val="Normal"/>
    <w:next w:val="Normal"/>
    <w:link w:val="Heading3Char"/>
    <w:qFormat/>
    <w:rsid w:val="00CD18D4"/>
    <w:pPr>
      <w:keepNext/>
      <w:keepLines/>
      <w:outlineLvl w:val="2"/>
    </w:pPr>
    <w:rPr>
      <w:b/>
      <w:i/>
      <w:color w:val="2683C6" w:themeColor="accent2"/>
    </w:rPr>
  </w:style>
  <w:style w:type="paragraph" w:styleId="Heading4">
    <w:name w:val="heading 4"/>
    <w:basedOn w:val="Normal"/>
    <w:next w:val="Normal"/>
    <w:link w:val="Heading4Char"/>
    <w:qFormat/>
    <w:rsid w:val="009D4F47"/>
    <w:pPr>
      <w:outlineLvl w:val="3"/>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unhideWhenUsed/>
    <w:rsid w:val="00121FE1"/>
    <w:rPr>
      <w:rFonts w:ascii="Lucida Grande" w:hAnsi="Lucida Grande"/>
      <w:sz w:val="18"/>
      <w:szCs w:val="18"/>
      <w:lang w:eastAsia="en-US"/>
    </w:rPr>
  </w:style>
  <w:style w:type="character" w:customStyle="1" w:styleId="BalloonTextChar">
    <w:name w:val="Balloon Text Char"/>
    <w:uiPriority w:val="99"/>
    <w:semiHidden/>
    <w:rsid w:val="004C2137"/>
    <w:rPr>
      <w:rFonts w:ascii="Lucida Grande" w:hAnsi="Lucida Grande" w:cs="Lucida Grande"/>
      <w:sz w:val="18"/>
      <w:szCs w:val="18"/>
    </w:rPr>
  </w:style>
  <w:style w:type="paragraph" w:styleId="Caption">
    <w:name w:val="caption"/>
    <w:basedOn w:val="Normal"/>
    <w:next w:val="Normal"/>
    <w:link w:val="CaptionChar"/>
    <w:uiPriority w:val="99"/>
    <w:qFormat/>
    <w:rsid w:val="00297040"/>
    <w:pPr>
      <w:pBdr>
        <w:bottom w:val="single" w:sz="4" w:space="1" w:color="auto"/>
      </w:pBdr>
      <w:ind w:hanging="360"/>
      <w:jc w:val="right"/>
    </w:pPr>
    <w:rPr>
      <w:rFonts w:cs="Arial"/>
      <w:sz w:val="28"/>
    </w:rPr>
  </w:style>
  <w:style w:type="paragraph" w:styleId="Header">
    <w:name w:val="header"/>
    <w:basedOn w:val="Normal"/>
    <w:link w:val="HeaderChar"/>
    <w:uiPriority w:val="99"/>
    <w:rsid w:val="00297040"/>
    <w:pPr>
      <w:tabs>
        <w:tab w:val="center" w:pos="4153"/>
        <w:tab w:val="right" w:pos="8306"/>
      </w:tabs>
    </w:pPr>
  </w:style>
  <w:style w:type="paragraph" w:styleId="Footer">
    <w:name w:val="footer"/>
    <w:basedOn w:val="Normal"/>
    <w:link w:val="FooterChar"/>
    <w:uiPriority w:val="99"/>
    <w:rsid w:val="00297040"/>
    <w:pPr>
      <w:tabs>
        <w:tab w:val="center" w:pos="4153"/>
        <w:tab w:val="right" w:pos="8306"/>
      </w:tabs>
    </w:pPr>
  </w:style>
  <w:style w:type="character" w:styleId="Hyperlink">
    <w:name w:val="Hyperlink"/>
    <w:uiPriority w:val="99"/>
    <w:rsid w:val="00791512"/>
    <w:rPr>
      <w:color w:val="1CADE4" w:themeColor="accent1"/>
      <w:u w:val="single"/>
    </w:rPr>
  </w:style>
  <w:style w:type="character" w:styleId="PageNumber">
    <w:name w:val="page number"/>
    <w:basedOn w:val="DefaultParagraphFont"/>
    <w:uiPriority w:val="99"/>
    <w:rsid w:val="00297040"/>
  </w:style>
  <w:style w:type="character" w:customStyle="1" w:styleId="date1">
    <w:name w:val="date1"/>
    <w:rsid w:val="00312C3E"/>
    <w:rPr>
      <w:color w:val="FF5400"/>
      <w:sz w:val="24"/>
      <w:szCs w:val="24"/>
    </w:rPr>
  </w:style>
  <w:style w:type="character" w:customStyle="1" w:styleId="vodkie">
    <w:name w:val="vodkie"/>
    <w:basedOn w:val="DefaultParagraphFont"/>
    <w:rsid w:val="00312C3E"/>
  </w:style>
  <w:style w:type="paragraph" w:styleId="ListParagraph">
    <w:name w:val="List Paragraph"/>
    <w:basedOn w:val="Normal"/>
    <w:link w:val="ListParagraphChar"/>
    <w:uiPriority w:val="34"/>
    <w:qFormat/>
    <w:rsid w:val="005F232F"/>
    <w:pPr>
      <w:spacing w:after="200"/>
      <w:ind w:left="720"/>
    </w:pPr>
    <w:rPr>
      <w:rFonts w:asciiTheme="minorHAnsi" w:eastAsia="Calibri" w:hAnsiTheme="minorHAnsi"/>
      <w:szCs w:val="22"/>
      <w:lang w:val="en-US" w:eastAsia="en-US"/>
    </w:rPr>
  </w:style>
  <w:style w:type="table" w:styleId="TableGrid">
    <w:name w:val="Table Grid"/>
    <w:basedOn w:val="TableNormal"/>
    <w:uiPriority w:val="39"/>
    <w:rsid w:val="005010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1">
    <w:name w:val="Balloon Text Char1"/>
    <w:link w:val="BalloonText"/>
    <w:uiPriority w:val="99"/>
    <w:rsid w:val="00121FE1"/>
    <w:rPr>
      <w:rFonts w:ascii="Lucida Grande" w:hAnsi="Lucida Grande"/>
      <w:sz w:val="18"/>
      <w:szCs w:val="18"/>
    </w:rPr>
  </w:style>
  <w:style w:type="character" w:customStyle="1" w:styleId="HeaderChar">
    <w:name w:val="Header Char"/>
    <w:link w:val="Header"/>
    <w:uiPriority w:val="99"/>
    <w:rsid w:val="00121FE1"/>
    <w:rPr>
      <w:sz w:val="24"/>
      <w:szCs w:val="24"/>
      <w:lang w:eastAsia="en-GB"/>
    </w:rPr>
  </w:style>
  <w:style w:type="character" w:customStyle="1" w:styleId="FooterChar">
    <w:name w:val="Footer Char"/>
    <w:link w:val="Footer"/>
    <w:uiPriority w:val="99"/>
    <w:rsid w:val="00121FE1"/>
    <w:rPr>
      <w:sz w:val="24"/>
      <w:szCs w:val="24"/>
      <w:lang w:eastAsia="en-GB"/>
    </w:rPr>
  </w:style>
  <w:style w:type="character" w:customStyle="1" w:styleId="object">
    <w:name w:val="object"/>
    <w:basedOn w:val="DefaultParagraphFont"/>
    <w:rsid w:val="00121FE1"/>
  </w:style>
  <w:style w:type="character" w:customStyle="1" w:styleId="bodytext">
    <w:name w:val="bodytext"/>
    <w:basedOn w:val="DefaultParagraphFont"/>
    <w:uiPriority w:val="99"/>
    <w:rsid w:val="00121FE1"/>
  </w:style>
  <w:style w:type="character" w:styleId="Emphasis">
    <w:name w:val="Emphasis"/>
    <w:uiPriority w:val="99"/>
    <w:qFormat/>
    <w:rsid w:val="00121FE1"/>
    <w:rPr>
      <w:i/>
    </w:rPr>
  </w:style>
  <w:style w:type="character" w:styleId="Strong">
    <w:name w:val="Strong"/>
    <w:uiPriority w:val="22"/>
    <w:qFormat/>
    <w:rsid w:val="00121FE1"/>
    <w:rPr>
      <w:b/>
    </w:rPr>
  </w:style>
  <w:style w:type="character" w:styleId="CommentReference">
    <w:name w:val="annotation reference"/>
    <w:uiPriority w:val="99"/>
    <w:rsid w:val="00121FE1"/>
    <w:rPr>
      <w:rFonts w:cs="Times New Roman"/>
      <w:sz w:val="16"/>
      <w:szCs w:val="16"/>
    </w:rPr>
  </w:style>
  <w:style w:type="paragraph" w:styleId="CommentText">
    <w:name w:val="annotation text"/>
    <w:basedOn w:val="Normal"/>
    <w:link w:val="CommentTextChar"/>
    <w:uiPriority w:val="99"/>
    <w:rsid w:val="00121FE1"/>
    <w:rPr>
      <w:sz w:val="20"/>
      <w:szCs w:val="20"/>
      <w:lang w:eastAsia="en-US"/>
    </w:rPr>
  </w:style>
  <w:style w:type="character" w:customStyle="1" w:styleId="CommentTextChar">
    <w:name w:val="Comment Text Char"/>
    <w:basedOn w:val="DefaultParagraphFont"/>
    <w:link w:val="CommentText"/>
    <w:uiPriority w:val="99"/>
    <w:rsid w:val="00121FE1"/>
  </w:style>
  <w:style w:type="paragraph" w:styleId="CommentSubject">
    <w:name w:val="annotation subject"/>
    <w:basedOn w:val="CommentText"/>
    <w:next w:val="CommentText"/>
    <w:link w:val="CommentSubjectChar"/>
    <w:uiPriority w:val="99"/>
    <w:rsid w:val="00121FE1"/>
    <w:rPr>
      <w:b/>
      <w:bCs/>
    </w:rPr>
  </w:style>
  <w:style w:type="character" w:customStyle="1" w:styleId="CommentSubjectChar">
    <w:name w:val="Comment Subject Char"/>
    <w:link w:val="CommentSubject"/>
    <w:uiPriority w:val="99"/>
    <w:rsid w:val="00121FE1"/>
    <w:rPr>
      <w:b/>
      <w:bCs/>
    </w:rPr>
  </w:style>
  <w:style w:type="character" w:customStyle="1" w:styleId="zmsearchresult">
    <w:name w:val="zmsearchresult"/>
    <w:basedOn w:val="DefaultParagraphFont"/>
    <w:rsid w:val="00B73C84"/>
  </w:style>
  <w:style w:type="character" w:customStyle="1" w:styleId="st">
    <w:name w:val="st"/>
    <w:basedOn w:val="DefaultParagraphFont"/>
    <w:rsid w:val="00B73C84"/>
  </w:style>
  <w:style w:type="paragraph" w:styleId="NormalWeb">
    <w:name w:val="Normal (Web)"/>
    <w:basedOn w:val="Normal"/>
    <w:uiPriority w:val="99"/>
    <w:rsid w:val="008C5942"/>
    <w:pPr>
      <w:spacing w:beforeLines="1" w:afterLines="1"/>
    </w:pPr>
    <w:rPr>
      <w:rFonts w:ascii="Times" w:hAnsi="Times"/>
      <w:sz w:val="20"/>
      <w:szCs w:val="20"/>
      <w:lang w:eastAsia="en-US"/>
    </w:rPr>
  </w:style>
  <w:style w:type="paragraph" w:styleId="FootnoteText">
    <w:name w:val="footnote text"/>
    <w:basedOn w:val="Normal"/>
    <w:link w:val="FootnoteTextChar"/>
    <w:uiPriority w:val="99"/>
    <w:rsid w:val="009D4F47"/>
    <w:pPr>
      <w:spacing w:after="0"/>
    </w:pPr>
    <w:rPr>
      <w:sz w:val="16"/>
    </w:rPr>
  </w:style>
  <w:style w:type="character" w:customStyle="1" w:styleId="FootnoteTextChar">
    <w:name w:val="Footnote Text Char"/>
    <w:link w:val="FootnoteText"/>
    <w:uiPriority w:val="99"/>
    <w:rsid w:val="009D4F47"/>
    <w:rPr>
      <w:rFonts w:ascii="Arial" w:hAnsi="Arial"/>
      <w:sz w:val="16"/>
      <w:szCs w:val="24"/>
    </w:rPr>
  </w:style>
  <w:style w:type="character" w:styleId="FootnoteReference">
    <w:name w:val="footnote reference"/>
    <w:uiPriority w:val="99"/>
    <w:rsid w:val="00791512"/>
    <w:rPr>
      <w:sz w:val="20"/>
      <w:vertAlign w:val="superscript"/>
    </w:rPr>
  </w:style>
  <w:style w:type="character" w:customStyle="1" w:styleId="at2">
    <w:name w:val="a__t2"/>
    <w:basedOn w:val="DefaultParagraphFont"/>
    <w:rsid w:val="00D6493B"/>
  </w:style>
  <w:style w:type="character" w:customStyle="1" w:styleId="at4">
    <w:name w:val="a__t4"/>
    <w:basedOn w:val="DefaultParagraphFont"/>
    <w:rsid w:val="00D6493B"/>
  </w:style>
  <w:style w:type="character" w:styleId="FollowedHyperlink">
    <w:name w:val="FollowedHyperlink"/>
    <w:rsid w:val="003A4760"/>
    <w:rPr>
      <w:color w:val="800080"/>
      <w:u w:val="single"/>
    </w:rPr>
  </w:style>
  <w:style w:type="character" w:customStyle="1" w:styleId="apple-converted-space">
    <w:name w:val="apple-converted-space"/>
    <w:basedOn w:val="DefaultParagraphFont"/>
    <w:rsid w:val="00EE28E6"/>
  </w:style>
  <w:style w:type="paragraph" w:customStyle="1" w:styleId="HeaderText">
    <w:name w:val="Header Text"/>
    <w:basedOn w:val="Caption"/>
    <w:link w:val="HeaderTextChar"/>
    <w:qFormat/>
    <w:rsid w:val="007E7EB0"/>
    <w:pPr>
      <w:pBdr>
        <w:bottom w:val="none" w:sz="0" w:space="0" w:color="auto"/>
      </w:pBdr>
      <w:ind w:firstLine="0"/>
    </w:pPr>
    <w:rPr>
      <w:noProof/>
    </w:rPr>
  </w:style>
  <w:style w:type="paragraph" w:customStyle="1" w:styleId="NoSpace">
    <w:name w:val="NoSpace"/>
    <w:basedOn w:val="Normal"/>
    <w:link w:val="NoSpaceChar"/>
    <w:qFormat/>
    <w:rsid w:val="007E7EB0"/>
    <w:pPr>
      <w:spacing w:after="0" w:line="240" w:lineRule="auto"/>
    </w:pPr>
  </w:style>
  <w:style w:type="character" w:customStyle="1" w:styleId="CaptionChar">
    <w:name w:val="Caption Char"/>
    <w:link w:val="Caption"/>
    <w:uiPriority w:val="99"/>
    <w:rsid w:val="007E7EB0"/>
    <w:rPr>
      <w:rFonts w:ascii="Arial" w:hAnsi="Arial" w:cs="Arial"/>
      <w:sz w:val="28"/>
      <w:lang w:val="en-GB" w:eastAsia="en-GB"/>
    </w:rPr>
  </w:style>
  <w:style w:type="character" w:customStyle="1" w:styleId="HeaderTextChar">
    <w:name w:val="Header Text Char"/>
    <w:link w:val="HeaderText"/>
    <w:rsid w:val="007E7EB0"/>
    <w:rPr>
      <w:rFonts w:ascii="Arial" w:hAnsi="Arial" w:cs="Arial"/>
      <w:noProof/>
      <w:sz w:val="28"/>
      <w:lang w:val="en-GB" w:eastAsia="en-GB"/>
    </w:rPr>
  </w:style>
  <w:style w:type="character" w:customStyle="1" w:styleId="Heading2Char">
    <w:name w:val="Heading 2 Char"/>
    <w:link w:val="Heading2"/>
    <w:rsid w:val="009D4F47"/>
    <w:rPr>
      <w:rFonts w:ascii="Arial" w:eastAsia="Calibri" w:hAnsi="Arial" w:cs="Arial"/>
      <w:b/>
      <w:color w:val="1CADE4" w:themeColor="accent1"/>
      <w:sz w:val="28"/>
      <w:szCs w:val="24"/>
    </w:rPr>
  </w:style>
  <w:style w:type="character" w:customStyle="1" w:styleId="NoSpaceChar">
    <w:name w:val="NoSpace Char"/>
    <w:link w:val="NoSpace"/>
    <w:rsid w:val="007E7EB0"/>
    <w:rPr>
      <w:rFonts w:ascii="Arial" w:hAnsi="Arial"/>
      <w:sz w:val="22"/>
      <w:lang w:val="en-GB" w:eastAsia="en-GB"/>
    </w:rPr>
  </w:style>
  <w:style w:type="paragraph" w:customStyle="1" w:styleId="FipraBullets">
    <w:name w:val="Fipra Bullets"/>
    <w:basedOn w:val="Normal"/>
    <w:link w:val="FipraBulletsChar"/>
    <w:qFormat/>
    <w:rsid w:val="00D8333B"/>
    <w:pPr>
      <w:numPr>
        <w:numId w:val="1"/>
      </w:numPr>
      <w:contextualSpacing/>
    </w:pPr>
    <w:rPr>
      <w:rFonts w:eastAsia="Calibri" w:cs="Arial"/>
    </w:rPr>
  </w:style>
  <w:style w:type="character" w:customStyle="1" w:styleId="Heading1Char">
    <w:name w:val="Heading 1 Char"/>
    <w:link w:val="Heading1"/>
    <w:rsid w:val="0056797D"/>
    <w:rPr>
      <w:rFonts w:ascii="Arial" w:eastAsia="Calibri" w:hAnsi="Arial" w:cs="Arial"/>
      <w:b/>
      <w:color w:val="2683C6" w:themeColor="accent2"/>
      <w:sz w:val="28"/>
      <w:szCs w:val="24"/>
    </w:rPr>
  </w:style>
  <w:style w:type="character" w:customStyle="1" w:styleId="FipraBulletsChar">
    <w:name w:val="Fipra Bullets Char"/>
    <w:link w:val="FipraBullets"/>
    <w:rsid w:val="00D8333B"/>
    <w:rPr>
      <w:rFonts w:ascii="Arial" w:eastAsia="Calibri" w:hAnsi="Arial" w:cs="Arial"/>
      <w:sz w:val="24"/>
      <w:szCs w:val="24"/>
    </w:rPr>
  </w:style>
  <w:style w:type="character" w:customStyle="1" w:styleId="Heading3Char">
    <w:name w:val="Heading 3 Char"/>
    <w:link w:val="Heading3"/>
    <w:rsid w:val="00CD18D4"/>
    <w:rPr>
      <w:rFonts w:ascii="Arial" w:hAnsi="Arial"/>
      <w:b/>
      <w:i/>
      <w:color w:val="2683C6" w:themeColor="accent2"/>
      <w:sz w:val="24"/>
      <w:szCs w:val="24"/>
    </w:rPr>
  </w:style>
  <w:style w:type="character" w:customStyle="1" w:styleId="Heading4Char">
    <w:name w:val="Heading 4 Char"/>
    <w:link w:val="Heading4"/>
    <w:rsid w:val="009D4F47"/>
    <w:rPr>
      <w:rFonts w:ascii="Arial" w:hAnsi="Arial"/>
      <w:b/>
      <w:i/>
      <w:color w:val="000000" w:themeColor="text1"/>
      <w:sz w:val="22"/>
      <w:szCs w:val="24"/>
    </w:rPr>
  </w:style>
  <w:style w:type="paragraph" w:styleId="DocumentMap">
    <w:name w:val="Document Map"/>
    <w:basedOn w:val="Normal"/>
    <w:link w:val="DocumentMapChar"/>
    <w:rsid w:val="00E44B47"/>
    <w:pPr>
      <w:spacing w:after="0" w:line="240" w:lineRule="auto"/>
    </w:pPr>
    <w:rPr>
      <w:rFonts w:ascii="Times New Roman" w:hAnsi="Times New Roman"/>
    </w:rPr>
  </w:style>
  <w:style w:type="character" w:customStyle="1" w:styleId="DocumentMapChar">
    <w:name w:val="Document Map Char"/>
    <w:basedOn w:val="DefaultParagraphFont"/>
    <w:link w:val="DocumentMap"/>
    <w:rsid w:val="00E44B47"/>
    <w:rPr>
      <w:sz w:val="24"/>
      <w:szCs w:val="24"/>
    </w:rPr>
  </w:style>
  <w:style w:type="paragraph" w:customStyle="1" w:styleId="p1">
    <w:name w:val="p1"/>
    <w:basedOn w:val="Normal"/>
    <w:rsid w:val="00AF247E"/>
    <w:pPr>
      <w:spacing w:after="0" w:line="240" w:lineRule="auto"/>
      <w:ind w:left="0"/>
      <w:jc w:val="left"/>
    </w:pPr>
    <w:rPr>
      <w:rFonts w:ascii="Avenir Next" w:hAnsi="Avenir Next"/>
      <w:sz w:val="17"/>
      <w:szCs w:val="17"/>
      <w:lang w:val="en-US" w:eastAsia="en-US"/>
    </w:rPr>
  </w:style>
  <w:style w:type="character" w:customStyle="1" w:styleId="s1">
    <w:name w:val="s1"/>
    <w:basedOn w:val="DefaultParagraphFont"/>
    <w:rsid w:val="00AF247E"/>
  </w:style>
  <w:style w:type="character" w:customStyle="1" w:styleId="ListParagraphChar">
    <w:name w:val="List Paragraph Char"/>
    <w:basedOn w:val="DefaultParagraphFont"/>
    <w:link w:val="ListParagraph"/>
    <w:uiPriority w:val="34"/>
    <w:rsid w:val="00D8333B"/>
    <w:rPr>
      <w:rFonts w:asciiTheme="minorHAnsi" w:eastAsia="Calibri" w:hAnsiTheme="minorHAnsi"/>
      <w:sz w:val="22"/>
      <w:szCs w:val="22"/>
      <w:lang w:val="en-US" w:eastAsia="en-US"/>
    </w:rPr>
  </w:style>
  <w:style w:type="paragraph" w:customStyle="1" w:styleId="TableBullets">
    <w:name w:val="Table Bullets"/>
    <w:basedOn w:val="FipraBullets"/>
    <w:link w:val="TableBulletsChar"/>
    <w:qFormat/>
    <w:rsid w:val="0056797D"/>
    <w:pPr>
      <w:spacing w:line="264" w:lineRule="auto"/>
      <w:ind w:left="357"/>
      <w:jc w:val="left"/>
    </w:pPr>
    <w:rPr>
      <w:sz w:val="20"/>
      <w:lang w:eastAsia="nl-BE"/>
    </w:rPr>
  </w:style>
  <w:style w:type="character" w:customStyle="1" w:styleId="TableBulletsChar">
    <w:name w:val="Table Bullets Char"/>
    <w:basedOn w:val="FipraBulletsChar"/>
    <w:link w:val="TableBullets"/>
    <w:rsid w:val="0056797D"/>
    <w:rPr>
      <w:rFonts w:ascii="Arial" w:eastAsia="Calibri" w:hAnsi="Arial" w:cs="Arial"/>
      <w:sz w:val="24"/>
      <w:szCs w:val="24"/>
      <w:lang w:eastAsia="nl-BE"/>
    </w:rPr>
  </w:style>
  <w:style w:type="character" w:customStyle="1" w:styleId="UnresolvedMention1">
    <w:name w:val="Unresolved Mention1"/>
    <w:basedOn w:val="DefaultParagraphFont"/>
    <w:uiPriority w:val="99"/>
    <w:semiHidden/>
    <w:unhideWhenUsed/>
    <w:rsid w:val="009C1E41"/>
    <w:rPr>
      <w:color w:val="605E5C"/>
      <w:shd w:val="clear" w:color="auto" w:fill="E1DFDD"/>
    </w:rPr>
  </w:style>
  <w:style w:type="paragraph" w:styleId="Revision">
    <w:name w:val="Revision"/>
    <w:hidden/>
    <w:semiHidden/>
    <w:rsid w:val="00452E5C"/>
    <w:rPr>
      <w:rFonts w:ascii="Arial" w:hAnsi="Arial"/>
      <w:sz w:val="24"/>
      <w:szCs w:val="24"/>
    </w:rPr>
  </w:style>
  <w:style w:type="paragraph" w:styleId="EndnoteText">
    <w:name w:val="endnote text"/>
    <w:basedOn w:val="Normal"/>
    <w:link w:val="EndnoteTextChar"/>
    <w:semiHidden/>
    <w:unhideWhenUsed/>
    <w:rsid w:val="002B2145"/>
    <w:pPr>
      <w:spacing w:after="0" w:line="240" w:lineRule="auto"/>
    </w:pPr>
    <w:rPr>
      <w:sz w:val="20"/>
      <w:szCs w:val="20"/>
    </w:rPr>
  </w:style>
  <w:style w:type="character" w:customStyle="1" w:styleId="EndnoteTextChar">
    <w:name w:val="Endnote Text Char"/>
    <w:basedOn w:val="DefaultParagraphFont"/>
    <w:link w:val="EndnoteText"/>
    <w:semiHidden/>
    <w:rsid w:val="002B2145"/>
    <w:rPr>
      <w:rFonts w:ascii="Arial" w:hAnsi="Arial"/>
    </w:rPr>
  </w:style>
  <w:style w:type="character" w:styleId="EndnoteReference">
    <w:name w:val="endnote reference"/>
    <w:basedOn w:val="DefaultParagraphFont"/>
    <w:semiHidden/>
    <w:unhideWhenUsed/>
    <w:rsid w:val="002B2145"/>
    <w:rPr>
      <w:vertAlign w:val="superscript"/>
    </w:rPr>
  </w:style>
  <w:style w:type="paragraph" w:styleId="NoSpacing">
    <w:name w:val="No Spacing"/>
    <w:link w:val="NoSpacingChar"/>
    <w:uiPriority w:val="1"/>
    <w:qFormat/>
    <w:rsid w:val="0005461C"/>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05461C"/>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3486">
      <w:bodyDiv w:val="1"/>
      <w:marLeft w:val="0"/>
      <w:marRight w:val="0"/>
      <w:marTop w:val="0"/>
      <w:marBottom w:val="0"/>
      <w:divBdr>
        <w:top w:val="none" w:sz="0" w:space="0" w:color="auto"/>
        <w:left w:val="none" w:sz="0" w:space="0" w:color="auto"/>
        <w:bottom w:val="none" w:sz="0" w:space="0" w:color="auto"/>
        <w:right w:val="none" w:sz="0" w:space="0" w:color="auto"/>
      </w:divBdr>
    </w:div>
    <w:div w:id="26878064">
      <w:bodyDiv w:val="1"/>
      <w:marLeft w:val="0"/>
      <w:marRight w:val="0"/>
      <w:marTop w:val="0"/>
      <w:marBottom w:val="0"/>
      <w:divBdr>
        <w:top w:val="none" w:sz="0" w:space="0" w:color="auto"/>
        <w:left w:val="none" w:sz="0" w:space="0" w:color="auto"/>
        <w:bottom w:val="none" w:sz="0" w:space="0" w:color="auto"/>
        <w:right w:val="none" w:sz="0" w:space="0" w:color="auto"/>
      </w:divBdr>
    </w:div>
    <w:div w:id="30427273">
      <w:bodyDiv w:val="1"/>
      <w:marLeft w:val="0"/>
      <w:marRight w:val="0"/>
      <w:marTop w:val="0"/>
      <w:marBottom w:val="0"/>
      <w:divBdr>
        <w:top w:val="none" w:sz="0" w:space="0" w:color="auto"/>
        <w:left w:val="none" w:sz="0" w:space="0" w:color="auto"/>
        <w:bottom w:val="none" w:sz="0" w:space="0" w:color="auto"/>
        <w:right w:val="none" w:sz="0" w:space="0" w:color="auto"/>
      </w:divBdr>
      <w:divsChild>
        <w:div w:id="2113742727">
          <w:marLeft w:val="0"/>
          <w:marRight w:val="0"/>
          <w:marTop w:val="0"/>
          <w:marBottom w:val="0"/>
          <w:divBdr>
            <w:top w:val="none" w:sz="0" w:space="0" w:color="auto"/>
            <w:left w:val="none" w:sz="0" w:space="0" w:color="auto"/>
            <w:bottom w:val="none" w:sz="0" w:space="0" w:color="auto"/>
            <w:right w:val="none" w:sz="0" w:space="0" w:color="auto"/>
          </w:divBdr>
          <w:divsChild>
            <w:div w:id="1612123961">
              <w:marLeft w:val="0"/>
              <w:marRight w:val="0"/>
              <w:marTop w:val="0"/>
              <w:marBottom w:val="0"/>
              <w:divBdr>
                <w:top w:val="none" w:sz="0" w:space="0" w:color="auto"/>
                <w:left w:val="none" w:sz="0" w:space="0" w:color="auto"/>
                <w:bottom w:val="none" w:sz="0" w:space="0" w:color="auto"/>
                <w:right w:val="none" w:sz="0" w:space="0" w:color="auto"/>
              </w:divBdr>
              <w:divsChild>
                <w:div w:id="633407958">
                  <w:marLeft w:val="0"/>
                  <w:marRight w:val="0"/>
                  <w:marTop w:val="0"/>
                  <w:marBottom w:val="0"/>
                  <w:divBdr>
                    <w:top w:val="none" w:sz="0" w:space="0" w:color="auto"/>
                    <w:left w:val="none" w:sz="0" w:space="0" w:color="auto"/>
                    <w:bottom w:val="none" w:sz="0" w:space="0" w:color="auto"/>
                    <w:right w:val="none" w:sz="0" w:space="0" w:color="auto"/>
                  </w:divBdr>
                  <w:divsChild>
                    <w:div w:id="1943997655">
                      <w:marLeft w:val="0"/>
                      <w:marRight w:val="240"/>
                      <w:marTop w:val="0"/>
                      <w:marBottom w:val="0"/>
                      <w:divBdr>
                        <w:top w:val="none" w:sz="0" w:space="0" w:color="auto"/>
                        <w:left w:val="none" w:sz="0" w:space="0" w:color="auto"/>
                        <w:bottom w:val="none" w:sz="0" w:space="0" w:color="auto"/>
                        <w:right w:val="none" w:sz="0" w:space="0" w:color="auto"/>
                      </w:divBdr>
                      <w:divsChild>
                        <w:div w:id="539781414">
                          <w:marLeft w:val="0"/>
                          <w:marRight w:val="0"/>
                          <w:marTop w:val="0"/>
                          <w:marBottom w:val="165"/>
                          <w:divBdr>
                            <w:top w:val="none" w:sz="0" w:space="0" w:color="auto"/>
                            <w:left w:val="none" w:sz="0" w:space="0" w:color="auto"/>
                            <w:bottom w:val="none" w:sz="0" w:space="0" w:color="auto"/>
                            <w:right w:val="none" w:sz="0" w:space="0" w:color="auto"/>
                          </w:divBdr>
                          <w:divsChild>
                            <w:div w:id="811287898">
                              <w:marLeft w:val="0"/>
                              <w:marRight w:val="0"/>
                              <w:marTop w:val="0"/>
                              <w:marBottom w:val="0"/>
                              <w:divBdr>
                                <w:top w:val="none" w:sz="0" w:space="0" w:color="auto"/>
                                <w:left w:val="none" w:sz="0" w:space="0" w:color="auto"/>
                                <w:bottom w:val="none" w:sz="0" w:space="0" w:color="auto"/>
                                <w:right w:val="none" w:sz="0" w:space="0" w:color="auto"/>
                              </w:divBdr>
                              <w:divsChild>
                                <w:div w:id="874538152">
                                  <w:marLeft w:val="0"/>
                                  <w:marRight w:val="0"/>
                                  <w:marTop w:val="120"/>
                                  <w:marBottom w:val="0"/>
                                  <w:divBdr>
                                    <w:top w:val="none" w:sz="0" w:space="0" w:color="auto"/>
                                    <w:left w:val="none" w:sz="0" w:space="0" w:color="auto"/>
                                    <w:bottom w:val="none" w:sz="0" w:space="0" w:color="auto"/>
                                    <w:right w:val="none" w:sz="0" w:space="0" w:color="auto"/>
                                  </w:divBdr>
                                  <w:divsChild>
                                    <w:div w:id="1052846394">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725867">
      <w:bodyDiv w:val="1"/>
      <w:marLeft w:val="0"/>
      <w:marRight w:val="0"/>
      <w:marTop w:val="0"/>
      <w:marBottom w:val="0"/>
      <w:divBdr>
        <w:top w:val="none" w:sz="0" w:space="0" w:color="auto"/>
        <w:left w:val="none" w:sz="0" w:space="0" w:color="auto"/>
        <w:bottom w:val="none" w:sz="0" w:space="0" w:color="auto"/>
        <w:right w:val="none" w:sz="0" w:space="0" w:color="auto"/>
      </w:divBdr>
    </w:div>
    <w:div w:id="101580843">
      <w:bodyDiv w:val="1"/>
      <w:marLeft w:val="0"/>
      <w:marRight w:val="0"/>
      <w:marTop w:val="0"/>
      <w:marBottom w:val="0"/>
      <w:divBdr>
        <w:top w:val="none" w:sz="0" w:space="0" w:color="auto"/>
        <w:left w:val="none" w:sz="0" w:space="0" w:color="auto"/>
        <w:bottom w:val="none" w:sz="0" w:space="0" w:color="auto"/>
        <w:right w:val="none" w:sz="0" w:space="0" w:color="auto"/>
      </w:divBdr>
    </w:div>
    <w:div w:id="172496904">
      <w:bodyDiv w:val="1"/>
      <w:marLeft w:val="0"/>
      <w:marRight w:val="0"/>
      <w:marTop w:val="0"/>
      <w:marBottom w:val="0"/>
      <w:divBdr>
        <w:top w:val="none" w:sz="0" w:space="0" w:color="auto"/>
        <w:left w:val="none" w:sz="0" w:space="0" w:color="auto"/>
        <w:bottom w:val="none" w:sz="0" w:space="0" w:color="auto"/>
        <w:right w:val="none" w:sz="0" w:space="0" w:color="auto"/>
      </w:divBdr>
      <w:divsChild>
        <w:div w:id="499583539">
          <w:marLeft w:val="0"/>
          <w:marRight w:val="0"/>
          <w:marTop w:val="0"/>
          <w:marBottom w:val="0"/>
          <w:divBdr>
            <w:top w:val="none" w:sz="0" w:space="0" w:color="auto"/>
            <w:left w:val="none" w:sz="0" w:space="0" w:color="auto"/>
            <w:bottom w:val="none" w:sz="0" w:space="0" w:color="auto"/>
            <w:right w:val="none" w:sz="0" w:space="0" w:color="auto"/>
          </w:divBdr>
        </w:div>
        <w:div w:id="718937484">
          <w:marLeft w:val="0"/>
          <w:marRight w:val="0"/>
          <w:marTop w:val="0"/>
          <w:marBottom w:val="0"/>
          <w:divBdr>
            <w:top w:val="none" w:sz="0" w:space="0" w:color="auto"/>
            <w:left w:val="none" w:sz="0" w:space="0" w:color="auto"/>
            <w:bottom w:val="none" w:sz="0" w:space="0" w:color="auto"/>
            <w:right w:val="none" w:sz="0" w:space="0" w:color="auto"/>
          </w:divBdr>
        </w:div>
        <w:div w:id="1358971723">
          <w:marLeft w:val="0"/>
          <w:marRight w:val="0"/>
          <w:marTop w:val="0"/>
          <w:marBottom w:val="0"/>
          <w:divBdr>
            <w:top w:val="none" w:sz="0" w:space="0" w:color="auto"/>
            <w:left w:val="none" w:sz="0" w:space="0" w:color="auto"/>
            <w:bottom w:val="none" w:sz="0" w:space="0" w:color="auto"/>
            <w:right w:val="none" w:sz="0" w:space="0" w:color="auto"/>
          </w:divBdr>
        </w:div>
        <w:div w:id="1437991316">
          <w:marLeft w:val="0"/>
          <w:marRight w:val="0"/>
          <w:marTop w:val="0"/>
          <w:marBottom w:val="0"/>
          <w:divBdr>
            <w:top w:val="none" w:sz="0" w:space="0" w:color="auto"/>
            <w:left w:val="none" w:sz="0" w:space="0" w:color="auto"/>
            <w:bottom w:val="none" w:sz="0" w:space="0" w:color="auto"/>
            <w:right w:val="none" w:sz="0" w:space="0" w:color="auto"/>
          </w:divBdr>
        </w:div>
      </w:divsChild>
    </w:div>
    <w:div w:id="186256684">
      <w:bodyDiv w:val="1"/>
      <w:marLeft w:val="0"/>
      <w:marRight w:val="0"/>
      <w:marTop w:val="0"/>
      <w:marBottom w:val="0"/>
      <w:divBdr>
        <w:top w:val="none" w:sz="0" w:space="0" w:color="auto"/>
        <w:left w:val="none" w:sz="0" w:space="0" w:color="auto"/>
        <w:bottom w:val="none" w:sz="0" w:space="0" w:color="auto"/>
        <w:right w:val="none" w:sz="0" w:space="0" w:color="auto"/>
      </w:divBdr>
    </w:div>
    <w:div w:id="266936971">
      <w:bodyDiv w:val="1"/>
      <w:marLeft w:val="0"/>
      <w:marRight w:val="0"/>
      <w:marTop w:val="0"/>
      <w:marBottom w:val="0"/>
      <w:divBdr>
        <w:top w:val="none" w:sz="0" w:space="0" w:color="auto"/>
        <w:left w:val="none" w:sz="0" w:space="0" w:color="auto"/>
        <w:bottom w:val="none" w:sz="0" w:space="0" w:color="auto"/>
        <w:right w:val="none" w:sz="0" w:space="0" w:color="auto"/>
      </w:divBdr>
      <w:divsChild>
        <w:div w:id="1373580755">
          <w:marLeft w:val="0"/>
          <w:marRight w:val="0"/>
          <w:marTop w:val="0"/>
          <w:marBottom w:val="0"/>
          <w:divBdr>
            <w:top w:val="none" w:sz="0" w:space="0" w:color="auto"/>
            <w:left w:val="none" w:sz="0" w:space="0" w:color="auto"/>
            <w:bottom w:val="none" w:sz="0" w:space="0" w:color="auto"/>
            <w:right w:val="none" w:sz="0" w:space="0" w:color="auto"/>
          </w:divBdr>
          <w:divsChild>
            <w:div w:id="1054308252">
              <w:marLeft w:val="0"/>
              <w:marRight w:val="0"/>
              <w:marTop w:val="0"/>
              <w:marBottom w:val="0"/>
              <w:divBdr>
                <w:top w:val="none" w:sz="0" w:space="0" w:color="auto"/>
                <w:left w:val="none" w:sz="0" w:space="0" w:color="auto"/>
                <w:bottom w:val="none" w:sz="0" w:space="0" w:color="auto"/>
                <w:right w:val="none" w:sz="0" w:space="0" w:color="auto"/>
              </w:divBdr>
              <w:divsChild>
                <w:div w:id="474832918">
                  <w:marLeft w:val="0"/>
                  <w:marRight w:val="0"/>
                  <w:marTop w:val="0"/>
                  <w:marBottom w:val="0"/>
                  <w:divBdr>
                    <w:top w:val="none" w:sz="0" w:space="0" w:color="auto"/>
                    <w:left w:val="none" w:sz="0" w:space="0" w:color="auto"/>
                    <w:bottom w:val="none" w:sz="0" w:space="0" w:color="auto"/>
                    <w:right w:val="none" w:sz="0" w:space="0" w:color="auto"/>
                  </w:divBdr>
                  <w:divsChild>
                    <w:div w:id="1171801364">
                      <w:marLeft w:val="0"/>
                      <w:marRight w:val="240"/>
                      <w:marTop w:val="0"/>
                      <w:marBottom w:val="0"/>
                      <w:divBdr>
                        <w:top w:val="none" w:sz="0" w:space="0" w:color="auto"/>
                        <w:left w:val="none" w:sz="0" w:space="0" w:color="auto"/>
                        <w:bottom w:val="none" w:sz="0" w:space="0" w:color="auto"/>
                        <w:right w:val="none" w:sz="0" w:space="0" w:color="auto"/>
                      </w:divBdr>
                      <w:divsChild>
                        <w:div w:id="1136069334">
                          <w:marLeft w:val="0"/>
                          <w:marRight w:val="0"/>
                          <w:marTop w:val="0"/>
                          <w:marBottom w:val="165"/>
                          <w:divBdr>
                            <w:top w:val="none" w:sz="0" w:space="0" w:color="auto"/>
                            <w:left w:val="none" w:sz="0" w:space="0" w:color="auto"/>
                            <w:bottom w:val="none" w:sz="0" w:space="0" w:color="auto"/>
                            <w:right w:val="none" w:sz="0" w:space="0" w:color="auto"/>
                          </w:divBdr>
                          <w:divsChild>
                            <w:div w:id="1458403835">
                              <w:marLeft w:val="0"/>
                              <w:marRight w:val="0"/>
                              <w:marTop w:val="0"/>
                              <w:marBottom w:val="0"/>
                              <w:divBdr>
                                <w:top w:val="none" w:sz="0" w:space="0" w:color="auto"/>
                                <w:left w:val="none" w:sz="0" w:space="0" w:color="auto"/>
                                <w:bottom w:val="none" w:sz="0" w:space="0" w:color="auto"/>
                                <w:right w:val="none" w:sz="0" w:space="0" w:color="auto"/>
                              </w:divBdr>
                              <w:divsChild>
                                <w:div w:id="874077066">
                                  <w:marLeft w:val="0"/>
                                  <w:marRight w:val="0"/>
                                  <w:marTop w:val="120"/>
                                  <w:marBottom w:val="0"/>
                                  <w:divBdr>
                                    <w:top w:val="none" w:sz="0" w:space="0" w:color="auto"/>
                                    <w:left w:val="none" w:sz="0" w:space="0" w:color="auto"/>
                                    <w:bottom w:val="none" w:sz="0" w:space="0" w:color="auto"/>
                                    <w:right w:val="none" w:sz="0" w:space="0" w:color="auto"/>
                                  </w:divBdr>
                                  <w:divsChild>
                                    <w:div w:id="1435053464">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085259">
      <w:bodyDiv w:val="1"/>
      <w:marLeft w:val="0"/>
      <w:marRight w:val="0"/>
      <w:marTop w:val="0"/>
      <w:marBottom w:val="0"/>
      <w:divBdr>
        <w:top w:val="none" w:sz="0" w:space="0" w:color="auto"/>
        <w:left w:val="none" w:sz="0" w:space="0" w:color="auto"/>
        <w:bottom w:val="none" w:sz="0" w:space="0" w:color="auto"/>
        <w:right w:val="none" w:sz="0" w:space="0" w:color="auto"/>
      </w:divBdr>
      <w:divsChild>
        <w:div w:id="404837185">
          <w:marLeft w:val="0"/>
          <w:marRight w:val="0"/>
          <w:marTop w:val="0"/>
          <w:marBottom w:val="0"/>
          <w:divBdr>
            <w:top w:val="none" w:sz="0" w:space="0" w:color="auto"/>
            <w:left w:val="none" w:sz="0" w:space="0" w:color="auto"/>
            <w:bottom w:val="none" w:sz="0" w:space="0" w:color="auto"/>
            <w:right w:val="none" w:sz="0" w:space="0" w:color="auto"/>
          </w:divBdr>
          <w:divsChild>
            <w:div w:id="1623732051">
              <w:marLeft w:val="0"/>
              <w:marRight w:val="0"/>
              <w:marTop w:val="0"/>
              <w:marBottom w:val="0"/>
              <w:divBdr>
                <w:top w:val="none" w:sz="0" w:space="0" w:color="auto"/>
                <w:left w:val="none" w:sz="0" w:space="0" w:color="auto"/>
                <w:bottom w:val="none" w:sz="0" w:space="0" w:color="auto"/>
                <w:right w:val="none" w:sz="0" w:space="0" w:color="auto"/>
              </w:divBdr>
              <w:divsChild>
                <w:div w:id="1990207073">
                  <w:marLeft w:val="0"/>
                  <w:marRight w:val="0"/>
                  <w:marTop w:val="0"/>
                  <w:marBottom w:val="0"/>
                  <w:divBdr>
                    <w:top w:val="none" w:sz="0" w:space="0" w:color="auto"/>
                    <w:left w:val="none" w:sz="0" w:space="0" w:color="auto"/>
                    <w:bottom w:val="none" w:sz="0" w:space="0" w:color="auto"/>
                    <w:right w:val="none" w:sz="0" w:space="0" w:color="auto"/>
                  </w:divBdr>
                  <w:divsChild>
                    <w:div w:id="440030130">
                      <w:marLeft w:val="0"/>
                      <w:marRight w:val="240"/>
                      <w:marTop w:val="0"/>
                      <w:marBottom w:val="0"/>
                      <w:divBdr>
                        <w:top w:val="none" w:sz="0" w:space="0" w:color="auto"/>
                        <w:left w:val="none" w:sz="0" w:space="0" w:color="auto"/>
                        <w:bottom w:val="none" w:sz="0" w:space="0" w:color="auto"/>
                        <w:right w:val="none" w:sz="0" w:space="0" w:color="auto"/>
                      </w:divBdr>
                      <w:divsChild>
                        <w:div w:id="1291739434">
                          <w:marLeft w:val="0"/>
                          <w:marRight w:val="0"/>
                          <w:marTop w:val="0"/>
                          <w:marBottom w:val="165"/>
                          <w:divBdr>
                            <w:top w:val="none" w:sz="0" w:space="0" w:color="auto"/>
                            <w:left w:val="none" w:sz="0" w:space="0" w:color="auto"/>
                            <w:bottom w:val="none" w:sz="0" w:space="0" w:color="auto"/>
                            <w:right w:val="none" w:sz="0" w:space="0" w:color="auto"/>
                          </w:divBdr>
                          <w:divsChild>
                            <w:div w:id="939996249">
                              <w:marLeft w:val="0"/>
                              <w:marRight w:val="0"/>
                              <w:marTop w:val="0"/>
                              <w:marBottom w:val="0"/>
                              <w:divBdr>
                                <w:top w:val="none" w:sz="0" w:space="0" w:color="auto"/>
                                <w:left w:val="none" w:sz="0" w:space="0" w:color="auto"/>
                                <w:bottom w:val="none" w:sz="0" w:space="0" w:color="auto"/>
                                <w:right w:val="none" w:sz="0" w:space="0" w:color="auto"/>
                              </w:divBdr>
                              <w:divsChild>
                                <w:div w:id="1357930037">
                                  <w:marLeft w:val="0"/>
                                  <w:marRight w:val="0"/>
                                  <w:marTop w:val="120"/>
                                  <w:marBottom w:val="0"/>
                                  <w:divBdr>
                                    <w:top w:val="none" w:sz="0" w:space="0" w:color="auto"/>
                                    <w:left w:val="none" w:sz="0" w:space="0" w:color="auto"/>
                                    <w:bottom w:val="none" w:sz="0" w:space="0" w:color="auto"/>
                                    <w:right w:val="none" w:sz="0" w:space="0" w:color="auto"/>
                                  </w:divBdr>
                                  <w:divsChild>
                                    <w:div w:id="1188519267">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373987">
      <w:bodyDiv w:val="1"/>
      <w:marLeft w:val="0"/>
      <w:marRight w:val="0"/>
      <w:marTop w:val="0"/>
      <w:marBottom w:val="0"/>
      <w:divBdr>
        <w:top w:val="none" w:sz="0" w:space="0" w:color="auto"/>
        <w:left w:val="none" w:sz="0" w:space="0" w:color="auto"/>
        <w:bottom w:val="none" w:sz="0" w:space="0" w:color="auto"/>
        <w:right w:val="none" w:sz="0" w:space="0" w:color="auto"/>
      </w:divBdr>
    </w:div>
    <w:div w:id="484006884">
      <w:bodyDiv w:val="1"/>
      <w:marLeft w:val="0"/>
      <w:marRight w:val="0"/>
      <w:marTop w:val="0"/>
      <w:marBottom w:val="0"/>
      <w:divBdr>
        <w:top w:val="none" w:sz="0" w:space="0" w:color="auto"/>
        <w:left w:val="none" w:sz="0" w:space="0" w:color="auto"/>
        <w:bottom w:val="none" w:sz="0" w:space="0" w:color="auto"/>
        <w:right w:val="none" w:sz="0" w:space="0" w:color="auto"/>
      </w:divBdr>
    </w:div>
    <w:div w:id="586114283">
      <w:bodyDiv w:val="1"/>
      <w:marLeft w:val="0"/>
      <w:marRight w:val="0"/>
      <w:marTop w:val="0"/>
      <w:marBottom w:val="0"/>
      <w:divBdr>
        <w:top w:val="none" w:sz="0" w:space="0" w:color="auto"/>
        <w:left w:val="none" w:sz="0" w:space="0" w:color="auto"/>
        <w:bottom w:val="none" w:sz="0" w:space="0" w:color="auto"/>
        <w:right w:val="none" w:sz="0" w:space="0" w:color="auto"/>
      </w:divBdr>
    </w:div>
    <w:div w:id="587815791">
      <w:bodyDiv w:val="1"/>
      <w:marLeft w:val="0"/>
      <w:marRight w:val="0"/>
      <w:marTop w:val="0"/>
      <w:marBottom w:val="0"/>
      <w:divBdr>
        <w:top w:val="none" w:sz="0" w:space="0" w:color="auto"/>
        <w:left w:val="none" w:sz="0" w:space="0" w:color="auto"/>
        <w:bottom w:val="none" w:sz="0" w:space="0" w:color="auto"/>
        <w:right w:val="none" w:sz="0" w:space="0" w:color="auto"/>
      </w:divBdr>
    </w:div>
    <w:div w:id="598441342">
      <w:bodyDiv w:val="1"/>
      <w:marLeft w:val="0"/>
      <w:marRight w:val="0"/>
      <w:marTop w:val="0"/>
      <w:marBottom w:val="0"/>
      <w:divBdr>
        <w:top w:val="none" w:sz="0" w:space="0" w:color="auto"/>
        <w:left w:val="none" w:sz="0" w:space="0" w:color="auto"/>
        <w:bottom w:val="none" w:sz="0" w:space="0" w:color="auto"/>
        <w:right w:val="none" w:sz="0" w:space="0" w:color="auto"/>
      </w:divBdr>
    </w:div>
    <w:div w:id="604532362">
      <w:bodyDiv w:val="1"/>
      <w:marLeft w:val="0"/>
      <w:marRight w:val="0"/>
      <w:marTop w:val="0"/>
      <w:marBottom w:val="0"/>
      <w:divBdr>
        <w:top w:val="none" w:sz="0" w:space="0" w:color="auto"/>
        <w:left w:val="none" w:sz="0" w:space="0" w:color="auto"/>
        <w:bottom w:val="none" w:sz="0" w:space="0" w:color="auto"/>
        <w:right w:val="none" w:sz="0" w:space="0" w:color="auto"/>
      </w:divBdr>
    </w:div>
    <w:div w:id="691763914">
      <w:bodyDiv w:val="1"/>
      <w:marLeft w:val="0"/>
      <w:marRight w:val="0"/>
      <w:marTop w:val="0"/>
      <w:marBottom w:val="0"/>
      <w:divBdr>
        <w:top w:val="none" w:sz="0" w:space="0" w:color="auto"/>
        <w:left w:val="none" w:sz="0" w:space="0" w:color="auto"/>
        <w:bottom w:val="none" w:sz="0" w:space="0" w:color="auto"/>
        <w:right w:val="none" w:sz="0" w:space="0" w:color="auto"/>
      </w:divBdr>
    </w:div>
    <w:div w:id="710616573">
      <w:bodyDiv w:val="1"/>
      <w:marLeft w:val="0"/>
      <w:marRight w:val="0"/>
      <w:marTop w:val="0"/>
      <w:marBottom w:val="0"/>
      <w:divBdr>
        <w:top w:val="none" w:sz="0" w:space="0" w:color="auto"/>
        <w:left w:val="none" w:sz="0" w:space="0" w:color="auto"/>
        <w:bottom w:val="none" w:sz="0" w:space="0" w:color="auto"/>
        <w:right w:val="none" w:sz="0" w:space="0" w:color="auto"/>
      </w:divBdr>
    </w:div>
    <w:div w:id="721905264">
      <w:bodyDiv w:val="1"/>
      <w:marLeft w:val="0"/>
      <w:marRight w:val="0"/>
      <w:marTop w:val="0"/>
      <w:marBottom w:val="0"/>
      <w:divBdr>
        <w:top w:val="none" w:sz="0" w:space="0" w:color="auto"/>
        <w:left w:val="none" w:sz="0" w:space="0" w:color="auto"/>
        <w:bottom w:val="none" w:sz="0" w:space="0" w:color="auto"/>
        <w:right w:val="none" w:sz="0" w:space="0" w:color="auto"/>
      </w:divBdr>
    </w:div>
    <w:div w:id="783580495">
      <w:bodyDiv w:val="1"/>
      <w:marLeft w:val="0"/>
      <w:marRight w:val="0"/>
      <w:marTop w:val="0"/>
      <w:marBottom w:val="0"/>
      <w:divBdr>
        <w:top w:val="none" w:sz="0" w:space="0" w:color="auto"/>
        <w:left w:val="none" w:sz="0" w:space="0" w:color="auto"/>
        <w:bottom w:val="none" w:sz="0" w:space="0" w:color="auto"/>
        <w:right w:val="none" w:sz="0" w:space="0" w:color="auto"/>
      </w:divBdr>
      <w:divsChild>
        <w:div w:id="819736020">
          <w:marLeft w:val="0"/>
          <w:marRight w:val="0"/>
          <w:marTop w:val="0"/>
          <w:marBottom w:val="0"/>
          <w:divBdr>
            <w:top w:val="none" w:sz="0" w:space="0" w:color="auto"/>
            <w:left w:val="none" w:sz="0" w:space="0" w:color="auto"/>
            <w:bottom w:val="none" w:sz="0" w:space="0" w:color="auto"/>
            <w:right w:val="none" w:sz="0" w:space="0" w:color="auto"/>
          </w:divBdr>
        </w:div>
        <w:div w:id="994338224">
          <w:marLeft w:val="0"/>
          <w:marRight w:val="0"/>
          <w:marTop w:val="0"/>
          <w:marBottom w:val="0"/>
          <w:divBdr>
            <w:top w:val="none" w:sz="0" w:space="0" w:color="auto"/>
            <w:left w:val="none" w:sz="0" w:space="0" w:color="auto"/>
            <w:bottom w:val="none" w:sz="0" w:space="0" w:color="auto"/>
            <w:right w:val="none" w:sz="0" w:space="0" w:color="auto"/>
          </w:divBdr>
        </w:div>
      </w:divsChild>
    </w:div>
    <w:div w:id="861823178">
      <w:bodyDiv w:val="1"/>
      <w:marLeft w:val="0"/>
      <w:marRight w:val="0"/>
      <w:marTop w:val="0"/>
      <w:marBottom w:val="0"/>
      <w:divBdr>
        <w:top w:val="none" w:sz="0" w:space="0" w:color="auto"/>
        <w:left w:val="none" w:sz="0" w:space="0" w:color="auto"/>
        <w:bottom w:val="none" w:sz="0" w:space="0" w:color="auto"/>
        <w:right w:val="none" w:sz="0" w:space="0" w:color="auto"/>
      </w:divBdr>
    </w:div>
    <w:div w:id="868644156">
      <w:bodyDiv w:val="1"/>
      <w:marLeft w:val="0"/>
      <w:marRight w:val="0"/>
      <w:marTop w:val="0"/>
      <w:marBottom w:val="0"/>
      <w:divBdr>
        <w:top w:val="none" w:sz="0" w:space="0" w:color="auto"/>
        <w:left w:val="none" w:sz="0" w:space="0" w:color="auto"/>
        <w:bottom w:val="none" w:sz="0" w:space="0" w:color="auto"/>
        <w:right w:val="none" w:sz="0" w:space="0" w:color="auto"/>
      </w:divBdr>
    </w:div>
    <w:div w:id="976959012">
      <w:bodyDiv w:val="1"/>
      <w:marLeft w:val="0"/>
      <w:marRight w:val="0"/>
      <w:marTop w:val="0"/>
      <w:marBottom w:val="0"/>
      <w:divBdr>
        <w:top w:val="none" w:sz="0" w:space="0" w:color="auto"/>
        <w:left w:val="none" w:sz="0" w:space="0" w:color="auto"/>
        <w:bottom w:val="none" w:sz="0" w:space="0" w:color="auto"/>
        <w:right w:val="none" w:sz="0" w:space="0" w:color="auto"/>
      </w:divBdr>
      <w:divsChild>
        <w:div w:id="134372478">
          <w:marLeft w:val="0"/>
          <w:marRight w:val="0"/>
          <w:marTop w:val="0"/>
          <w:marBottom w:val="0"/>
          <w:divBdr>
            <w:top w:val="none" w:sz="0" w:space="0" w:color="auto"/>
            <w:left w:val="none" w:sz="0" w:space="0" w:color="auto"/>
            <w:bottom w:val="none" w:sz="0" w:space="0" w:color="auto"/>
            <w:right w:val="none" w:sz="0" w:space="0" w:color="auto"/>
          </w:divBdr>
        </w:div>
        <w:div w:id="1502502967">
          <w:marLeft w:val="0"/>
          <w:marRight w:val="0"/>
          <w:marTop w:val="0"/>
          <w:marBottom w:val="0"/>
          <w:divBdr>
            <w:top w:val="none" w:sz="0" w:space="0" w:color="auto"/>
            <w:left w:val="none" w:sz="0" w:space="0" w:color="auto"/>
            <w:bottom w:val="none" w:sz="0" w:space="0" w:color="auto"/>
            <w:right w:val="none" w:sz="0" w:space="0" w:color="auto"/>
          </w:divBdr>
        </w:div>
        <w:div w:id="1914852655">
          <w:marLeft w:val="0"/>
          <w:marRight w:val="0"/>
          <w:marTop w:val="0"/>
          <w:marBottom w:val="0"/>
          <w:divBdr>
            <w:top w:val="none" w:sz="0" w:space="0" w:color="auto"/>
            <w:left w:val="none" w:sz="0" w:space="0" w:color="auto"/>
            <w:bottom w:val="none" w:sz="0" w:space="0" w:color="auto"/>
            <w:right w:val="none" w:sz="0" w:space="0" w:color="auto"/>
          </w:divBdr>
        </w:div>
      </w:divsChild>
    </w:div>
    <w:div w:id="999231740">
      <w:bodyDiv w:val="1"/>
      <w:marLeft w:val="0"/>
      <w:marRight w:val="0"/>
      <w:marTop w:val="0"/>
      <w:marBottom w:val="0"/>
      <w:divBdr>
        <w:top w:val="none" w:sz="0" w:space="0" w:color="auto"/>
        <w:left w:val="none" w:sz="0" w:space="0" w:color="auto"/>
        <w:bottom w:val="none" w:sz="0" w:space="0" w:color="auto"/>
        <w:right w:val="none" w:sz="0" w:space="0" w:color="auto"/>
      </w:divBdr>
      <w:divsChild>
        <w:div w:id="570694813">
          <w:marLeft w:val="0"/>
          <w:marRight w:val="0"/>
          <w:marTop w:val="0"/>
          <w:marBottom w:val="0"/>
          <w:divBdr>
            <w:top w:val="none" w:sz="0" w:space="0" w:color="auto"/>
            <w:left w:val="none" w:sz="0" w:space="0" w:color="auto"/>
            <w:bottom w:val="none" w:sz="0" w:space="0" w:color="auto"/>
            <w:right w:val="none" w:sz="0" w:space="0" w:color="auto"/>
          </w:divBdr>
          <w:divsChild>
            <w:div w:id="1262451228">
              <w:marLeft w:val="0"/>
              <w:marRight w:val="0"/>
              <w:marTop w:val="0"/>
              <w:marBottom w:val="0"/>
              <w:divBdr>
                <w:top w:val="none" w:sz="0" w:space="0" w:color="auto"/>
                <w:left w:val="none" w:sz="0" w:space="0" w:color="auto"/>
                <w:bottom w:val="none" w:sz="0" w:space="0" w:color="auto"/>
                <w:right w:val="none" w:sz="0" w:space="0" w:color="auto"/>
              </w:divBdr>
              <w:divsChild>
                <w:div w:id="966355060">
                  <w:marLeft w:val="0"/>
                  <w:marRight w:val="0"/>
                  <w:marTop w:val="0"/>
                  <w:marBottom w:val="0"/>
                  <w:divBdr>
                    <w:top w:val="none" w:sz="0" w:space="0" w:color="auto"/>
                    <w:left w:val="none" w:sz="0" w:space="0" w:color="auto"/>
                    <w:bottom w:val="none" w:sz="0" w:space="0" w:color="auto"/>
                    <w:right w:val="none" w:sz="0" w:space="0" w:color="auto"/>
                  </w:divBdr>
                  <w:divsChild>
                    <w:div w:id="466320120">
                      <w:marLeft w:val="0"/>
                      <w:marRight w:val="240"/>
                      <w:marTop w:val="0"/>
                      <w:marBottom w:val="0"/>
                      <w:divBdr>
                        <w:top w:val="none" w:sz="0" w:space="0" w:color="auto"/>
                        <w:left w:val="none" w:sz="0" w:space="0" w:color="auto"/>
                        <w:bottom w:val="none" w:sz="0" w:space="0" w:color="auto"/>
                        <w:right w:val="none" w:sz="0" w:space="0" w:color="auto"/>
                      </w:divBdr>
                      <w:divsChild>
                        <w:div w:id="174198802">
                          <w:marLeft w:val="0"/>
                          <w:marRight w:val="0"/>
                          <w:marTop w:val="0"/>
                          <w:marBottom w:val="165"/>
                          <w:divBdr>
                            <w:top w:val="none" w:sz="0" w:space="0" w:color="auto"/>
                            <w:left w:val="none" w:sz="0" w:space="0" w:color="auto"/>
                            <w:bottom w:val="none" w:sz="0" w:space="0" w:color="auto"/>
                            <w:right w:val="none" w:sz="0" w:space="0" w:color="auto"/>
                          </w:divBdr>
                          <w:divsChild>
                            <w:div w:id="498346668">
                              <w:marLeft w:val="0"/>
                              <w:marRight w:val="0"/>
                              <w:marTop w:val="0"/>
                              <w:marBottom w:val="0"/>
                              <w:divBdr>
                                <w:top w:val="none" w:sz="0" w:space="0" w:color="auto"/>
                                <w:left w:val="none" w:sz="0" w:space="0" w:color="auto"/>
                                <w:bottom w:val="none" w:sz="0" w:space="0" w:color="auto"/>
                                <w:right w:val="none" w:sz="0" w:space="0" w:color="auto"/>
                              </w:divBdr>
                              <w:divsChild>
                                <w:div w:id="1429278812">
                                  <w:marLeft w:val="0"/>
                                  <w:marRight w:val="0"/>
                                  <w:marTop w:val="120"/>
                                  <w:marBottom w:val="0"/>
                                  <w:divBdr>
                                    <w:top w:val="none" w:sz="0" w:space="0" w:color="auto"/>
                                    <w:left w:val="none" w:sz="0" w:space="0" w:color="auto"/>
                                    <w:bottom w:val="none" w:sz="0" w:space="0" w:color="auto"/>
                                    <w:right w:val="none" w:sz="0" w:space="0" w:color="auto"/>
                                  </w:divBdr>
                                  <w:divsChild>
                                    <w:div w:id="1790661987">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005980">
      <w:bodyDiv w:val="1"/>
      <w:marLeft w:val="0"/>
      <w:marRight w:val="0"/>
      <w:marTop w:val="0"/>
      <w:marBottom w:val="0"/>
      <w:divBdr>
        <w:top w:val="none" w:sz="0" w:space="0" w:color="auto"/>
        <w:left w:val="none" w:sz="0" w:space="0" w:color="auto"/>
        <w:bottom w:val="none" w:sz="0" w:space="0" w:color="auto"/>
        <w:right w:val="none" w:sz="0" w:space="0" w:color="auto"/>
      </w:divBdr>
    </w:div>
    <w:div w:id="1087966448">
      <w:bodyDiv w:val="1"/>
      <w:marLeft w:val="0"/>
      <w:marRight w:val="0"/>
      <w:marTop w:val="0"/>
      <w:marBottom w:val="0"/>
      <w:divBdr>
        <w:top w:val="none" w:sz="0" w:space="0" w:color="auto"/>
        <w:left w:val="none" w:sz="0" w:space="0" w:color="auto"/>
        <w:bottom w:val="none" w:sz="0" w:space="0" w:color="auto"/>
        <w:right w:val="none" w:sz="0" w:space="0" w:color="auto"/>
      </w:divBdr>
      <w:divsChild>
        <w:div w:id="1780831950">
          <w:marLeft w:val="547"/>
          <w:marRight w:val="0"/>
          <w:marTop w:val="0"/>
          <w:marBottom w:val="0"/>
          <w:divBdr>
            <w:top w:val="none" w:sz="0" w:space="0" w:color="auto"/>
            <w:left w:val="none" w:sz="0" w:space="0" w:color="auto"/>
            <w:bottom w:val="none" w:sz="0" w:space="0" w:color="auto"/>
            <w:right w:val="none" w:sz="0" w:space="0" w:color="auto"/>
          </w:divBdr>
        </w:div>
        <w:div w:id="931427206">
          <w:marLeft w:val="547"/>
          <w:marRight w:val="0"/>
          <w:marTop w:val="0"/>
          <w:marBottom w:val="0"/>
          <w:divBdr>
            <w:top w:val="none" w:sz="0" w:space="0" w:color="auto"/>
            <w:left w:val="none" w:sz="0" w:space="0" w:color="auto"/>
            <w:bottom w:val="none" w:sz="0" w:space="0" w:color="auto"/>
            <w:right w:val="none" w:sz="0" w:space="0" w:color="auto"/>
          </w:divBdr>
        </w:div>
        <w:div w:id="548539985">
          <w:marLeft w:val="547"/>
          <w:marRight w:val="0"/>
          <w:marTop w:val="0"/>
          <w:marBottom w:val="0"/>
          <w:divBdr>
            <w:top w:val="none" w:sz="0" w:space="0" w:color="auto"/>
            <w:left w:val="none" w:sz="0" w:space="0" w:color="auto"/>
            <w:bottom w:val="none" w:sz="0" w:space="0" w:color="auto"/>
            <w:right w:val="none" w:sz="0" w:space="0" w:color="auto"/>
          </w:divBdr>
        </w:div>
        <w:div w:id="306977805">
          <w:marLeft w:val="547"/>
          <w:marRight w:val="0"/>
          <w:marTop w:val="0"/>
          <w:marBottom w:val="0"/>
          <w:divBdr>
            <w:top w:val="none" w:sz="0" w:space="0" w:color="auto"/>
            <w:left w:val="none" w:sz="0" w:space="0" w:color="auto"/>
            <w:bottom w:val="none" w:sz="0" w:space="0" w:color="auto"/>
            <w:right w:val="none" w:sz="0" w:space="0" w:color="auto"/>
          </w:divBdr>
        </w:div>
        <w:div w:id="946232265">
          <w:marLeft w:val="547"/>
          <w:marRight w:val="0"/>
          <w:marTop w:val="0"/>
          <w:marBottom w:val="0"/>
          <w:divBdr>
            <w:top w:val="none" w:sz="0" w:space="0" w:color="auto"/>
            <w:left w:val="none" w:sz="0" w:space="0" w:color="auto"/>
            <w:bottom w:val="none" w:sz="0" w:space="0" w:color="auto"/>
            <w:right w:val="none" w:sz="0" w:space="0" w:color="auto"/>
          </w:divBdr>
        </w:div>
        <w:div w:id="347800104">
          <w:marLeft w:val="547"/>
          <w:marRight w:val="0"/>
          <w:marTop w:val="0"/>
          <w:marBottom w:val="0"/>
          <w:divBdr>
            <w:top w:val="none" w:sz="0" w:space="0" w:color="auto"/>
            <w:left w:val="none" w:sz="0" w:space="0" w:color="auto"/>
            <w:bottom w:val="none" w:sz="0" w:space="0" w:color="auto"/>
            <w:right w:val="none" w:sz="0" w:space="0" w:color="auto"/>
          </w:divBdr>
        </w:div>
        <w:div w:id="938217196">
          <w:marLeft w:val="547"/>
          <w:marRight w:val="0"/>
          <w:marTop w:val="0"/>
          <w:marBottom w:val="0"/>
          <w:divBdr>
            <w:top w:val="none" w:sz="0" w:space="0" w:color="auto"/>
            <w:left w:val="none" w:sz="0" w:space="0" w:color="auto"/>
            <w:bottom w:val="none" w:sz="0" w:space="0" w:color="auto"/>
            <w:right w:val="none" w:sz="0" w:space="0" w:color="auto"/>
          </w:divBdr>
        </w:div>
        <w:div w:id="1430849309">
          <w:marLeft w:val="547"/>
          <w:marRight w:val="0"/>
          <w:marTop w:val="0"/>
          <w:marBottom w:val="0"/>
          <w:divBdr>
            <w:top w:val="none" w:sz="0" w:space="0" w:color="auto"/>
            <w:left w:val="none" w:sz="0" w:space="0" w:color="auto"/>
            <w:bottom w:val="none" w:sz="0" w:space="0" w:color="auto"/>
            <w:right w:val="none" w:sz="0" w:space="0" w:color="auto"/>
          </w:divBdr>
        </w:div>
        <w:div w:id="192696824">
          <w:marLeft w:val="547"/>
          <w:marRight w:val="0"/>
          <w:marTop w:val="0"/>
          <w:marBottom w:val="0"/>
          <w:divBdr>
            <w:top w:val="none" w:sz="0" w:space="0" w:color="auto"/>
            <w:left w:val="none" w:sz="0" w:space="0" w:color="auto"/>
            <w:bottom w:val="none" w:sz="0" w:space="0" w:color="auto"/>
            <w:right w:val="none" w:sz="0" w:space="0" w:color="auto"/>
          </w:divBdr>
        </w:div>
        <w:div w:id="1629358140">
          <w:marLeft w:val="547"/>
          <w:marRight w:val="0"/>
          <w:marTop w:val="0"/>
          <w:marBottom w:val="0"/>
          <w:divBdr>
            <w:top w:val="none" w:sz="0" w:space="0" w:color="auto"/>
            <w:left w:val="none" w:sz="0" w:space="0" w:color="auto"/>
            <w:bottom w:val="none" w:sz="0" w:space="0" w:color="auto"/>
            <w:right w:val="none" w:sz="0" w:space="0" w:color="auto"/>
          </w:divBdr>
        </w:div>
        <w:div w:id="2100178343">
          <w:marLeft w:val="547"/>
          <w:marRight w:val="0"/>
          <w:marTop w:val="0"/>
          <w:marBottom w:val="0"/>
          <w:divBdr>
            <w:top w:val="none" w:sz="0" w:space="0" w:color="auto"/>
            <w:left w:val="none" w:sz="0" w:space="0" w:color="auto"/>
            <w:bottom w:val="none" w:sz="0" w:space="0" w:color="auto"/>
            <w:right w:val="none" w:sz="0" w:space="0" w:color="auto"/>
          </w:divBdr>
        </w:div>
        <w:div w:id="2090956944">
          <w:marLeft w:val="547"/>
          <w:marRight w:val="0"/>
          <w:marTop w:val="0"/>
          <w:marBottom w:val="0"/>
          <w:divBdr>
            <w:top w:val="none" w:sz="0" w:space="0" w:color="auto"/>
            <w:left w:val="none" w:sz="0" w:space="0" w:color="auto"/>
            <w:bottom w:val="none" w:sz="0" w:space="0" w:color="auto"/>
            <w:right w:val="none" w:sz="0" w:space="0" w:color="auto"/>
          </w:divBdr>
        </w:div>
        <w:div w:id="868495675">
          <w:marLeft w:val="547"/>
          <w:marRight w:val="0"/>
          <w:marTop w:val="0"/>
          <w:marBottom w:val="0"/>
          <w:divBdr>
            <w:top w:val="none" w:sz="0" w:space="0" w:color="auto"/>
            <w:left w:val="none" w:sz="0" w:space="0" w:color="auto"/>
            <w:bottom w:val="none" w:sz="0" w:space="0" w:color="auto"/>
            <w:right w:val="none" w:sz="0" w:space="0" w:color="auto"/>
          </w:divBdr>
        </w:div>
      </w:divsChild>
    </w:div>
    <w:div w:id="1116751025">
      <w:bodyDiv w:val="1"/>
      <w:marLeft w:val="0"/>
      <w:marRight w:val="0"/>
      <w:marTop w:val="0"/>
      <w:marBottom w:val="0"/>
      <w:divBdr>
        <w:top w:val="none" w:sz="0" w:space="0" w:color="auto"/>
        <w:left w:val="none" w:sz="0" w:space="0" w:color="auto"/>
        <w:bottom w:val="none" w:sz="0" w:space="0" w:color="auto"/>
        <w:right w:val="none" w:sz="0" w:space="0" w:color="auto"/>
      </w:divBdr>
    </w:div>
    <w:div w:id="1153721621">
      <w:bodyDiv w:val="1"/>
      <w:marLeft w:val="0"/>
      <w:marRight w:val="0"/>
      <w:marTop w:val="0"/>
      <w:marBottom w:val="0"/>
      <w:divBdr>
        <w:top w:val="none" w:sz="0" w:space="0" w:color="auto"/>
        <w:left w:val="none" w:sz="0" w:space="0" w:color="auto"/>
        <w:bottom w:val="none" w:sz="0" w:space="0" w:color="auto"/>
        <w:right w:val="none" w:sz="0" w:space="0" w:color="auto"/>
      </w:divBdr>
    </w:div>
    <w:div w:id="1157116686">
      <w:bodyDiv w:val="1"/>
      <w:marLeft w:val="0"/>
      <w:marRight w:val="0"/>
      <w:marTop w:val="0"/>
      <w:marBottom w:val="0"/>
      <w:divBdr>
        <w:top w:val="none" w:sz="0" w:space="0" w:color="auto"/>
        <w:left w:val="none" w:sz="0" w:space="0" w:color="auto"/>
        <w:bottom w:val="none" w:sz="0" w:space="0" w:color="auto"/>
        <w:right w:val="none" w:sz="0" w:space="0" w:color="auto"/>
      </w:divBdr>
      <w:divsChild>
        <w:div w:id="1366978793">
          <w:marLeft w:val="0"/>
          <w:marRight w:val="0"/>
          <w:marTop w:val="0"/>
          <w:marBottom w:val="0"/>
          <w:divBdr>
            <w:top w:val="none" w:sz="0" w:space="0" w:color="auto"/>
            <w:left w:val="none" w:sz="0" w:space="0" w:color="auto"/>
            <w:bottom w:val="none" w:sz="0" w:space="0" w:color="auto"/>
            <w:right w:val="none" w:sz="0" w:space="0" w:color="auto"/>
          </w:divBdr>
          <w:divsChild>
            <w:div w:id="1894270873">
              <w:marLeft w:val="0"/>
              <w:marRight w:val="0"/>
              <w:marTop w:val="0"/>
              <w:marBottom w:val="0"/>
              <w:divBdr>
                <w:top w:val="none" w:sz="0" w:space="0" w:color="auto"/>
                <w:left w:val="none" w:sz="0" w:space="0" w:color="auto"/>
                <w:bottom w:val="none" w:sz="0" w:space="0" w:color="auto"/>
                <w:right w:val="none" w:sz="0" w:space="0" w:color="auto"/>
              </w:divBdr>
              <w:divsChild>
                <w:div w:id="755589693">
                  <w:marLeft w:val="0"/>
                  <w:marRight w:val="0"/>
                  <w:marTop w:val="0"/>
                  <w:marBottom w:val="0"/>
                  <w:divBdr>
                    <w:top w:val="none" w:sz="0" w:space="0" w:color="auto"/>
                    <w:left w:val="none" w:sz="0" w:space="0" w:color="auto"/>
                    <w:bottom w:val="none" w:sz="0" w:space="0" w:color="auto"/>
                    <w:right w:val="none" w:sz="0" w:space="0" w:color="auto"/>
                  </w:divBdr>
                  <w:divsChild>
                    <w:div w:id="13650800">
                      <w:marLeft w:val="0"/>
                      <w:marRight w:val="240"/>
                      <w:marTop w:val="0"/>
                      <w:marBottom w:val="0"/>
                      <w:divBdr>
                        <w:top w:val="none" w:sz="0" w:space="0" w:color="auto"/>
                        <w:left w:val="none" w:sz="0" w:space="0" w:color="auto"/>
                        <w:bottom w:val="none" w:sz="0" w:space="0" w:color="auto"/>
                        <w:right w:val="none" w:sz="0" w:space="0" w:color="auto"/>
                      </w:divBdr>
                      <w:divsChild>
                        <w:div w:id="1133014841">
                          <w:marLeft w:val="0"/>
                          <w:marRight w:val="0"/>
                          <w:marTop w:val="0"/>
                          <w:marBottom w:val="165"/>
                          <w:divBdr>
                            <w:top w:val="none" w:sz="0" w:space="0" w:color="auto"/>
                            <w:left w:val="none" w:sz="0" w:space="0" w:color="auto"/>
                            <w:bottom w:val="none" w:sz="0" w:space="0" w:color="auto"/>
                            <w:right w:val="none" w:sz="0" w:space="0" w:color="auto"/>
                          </w:divBdr>
                          <w:divsChild>
                            <w:div w:id="56441201">
                              <w:marLeft w:val="0"/>
                              <w:marRight w:val="0"/>
                              <w:marTop w:val="0"/>
                              <w:marBottom w:val="0"/>
                              <w:divBdr>
                                <w:top w:val="none" w:sz="0" w:space="0" w:color="auto"/>
                                <w:left w:val="none" w:sz="0" w:space="0" w:color="auto"/>
                                <w:bottom w:val="none" w:sz="0" w:space="0" w:color="auto"/>
                                <w:right w:val="none" w:sz="0" w:space="0" w:color="auto"/>
                              </w:divBdr>
                              <w:divsChild>
                                <w:div w:id="1171261470">
                                  <w:marLeft w:val="0"/>
                                  <w:marRight w:val="0"/>
                                  <w:marTop w:val="120"/>
                                  <w:marBottom w:val="0"/>
                                  <w:divBdr>
                                    <w:top w:val="none" w:sz="0" w:space="0" w:color="auto"/>
                                    <w:left w:val="none" w:sz="0" w:space="0" w:color="auto"/>
                                    <w:bottom w:val="none" w:sz="0" w:space="0" w:color="auto"/>
                                    <w:right w:val="none" w:sz="0" w:space="0" w:color="auto"/>
                                  </w:divBdr>
                                  <w:divsChild>
                                    <w:div w:id="1578125068">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144763">
      <w:bodyDiv w:val="1"/>
      <w:marLeft w:val="0"/>
      <w:marRight w:val="0"/>
      <w:marTop w:val="0"/>
      <w:marBottom w:val="0"/>
      <w:divBdr>
        <w:top w:val="none" w:sz="0" w:space="0" w:color="auto"/>
        <w:left w:val="none" w:sz="0" w:space="0" w:color="auto"/>
        <w:bottom w:val="none" w:sz="0" w:space="0" w:color="auto"/>
        <w:right w:val="none" w:sz="0" w:space="0" w:color="auto"/>
      </w:divBdr>
    </w:div>
    <w:div w:id="1239096215">
      <w:bodyDiv w:val="1"/>
      <w:marLeft w:val="0"/>
      <w:marRight w:val="0"/>
      <w:marTop w:val="0"/>
      <w:marBottom w:val="0"/>
      <w:divBdr>
        <w:top w:val="none" w:sz="0" w:space="0" w:color="auto"/>
        <w:left w:val="none" w:sz="0" w:space="0" w:color="auto"/>
        <w:bottom w:val="none" w:sz="0" w:space="0" w:color="auto"/>
        <w:right w:val="none" w:sz="0" w:space="0" w:color="auto"/>
      </w:divBdr>
      <w:divsChild>
        <w:div w:id="1402172980">
          <w:marLeft w:val="0"/>
          <w:marRight w:val="0"/>
          <w:marTop w:val="0"/>
          <w:marBottom w:val="0"/>
          <w:divBdr>
            <w:top w:val="none" w:sz="0" w:space="0" w:color="auto"/>
            <w:left w:val="none" w:sz="0" w:space="0" w:color="auto"/>
            <w:bottom w:val="none" w:sz="0" w:space="0" w:color="auto"/>
            <w:right w:val="none" w:sz="0" w:space="0" w:color="auto"/>
          </w:divBdr>
          <w:divsChild>
            <w:div w:id="1774400281">
              <w:marLeft w:val="0"/>
              <w:marRight w:val="0"/>
              <w:marTop w:val="0"/>
              <w:marBottom w:val="0"/>
              <w:divBdr>
                <w:top w:val="none" w:sz="0" w:space="0" w:color="auto"/>
                <w:left w:val="none" w:sz="0" w:space="0" w:color="auto"/>
                <w:bottom w:val="none" w:sz="0" w:space="0" w:color="auto"/>
                <w:right w:val="none" w:sz="0" w:space="0" w:color="auto"/>
              </w:divBdr>
              <w:divsChild>
                <w:div w:id="451553662">
                  <w:marLeft w:val="0"/>
                  <w:marRight w:val="0"/>
                  <w:marTop w:val="0"/>
                  <w:marBottom w:val="0"/>
                  <w:divBdr>
                    <w:top w:val="none" w:sz="0" w:space="0" w:color="auto"/>
                    <w:left w:val="none" w:sz="0" w:space="0" w:color="auto"/>
                    <w:bottom w:val="none" w:sz="0" w:space="0" w:color="auto"/>
                    <w:right w:val="none" w:sz="0" w:space="0" w:color="auto"/>
                  </w:divBdr>
                  <w:divsChild>
                    <w:div w:id="1211262370">
                      <w:marLeft w:val="0"/>
                      <w:marRight w:val="240"/>
                      <w:marTop w:val="0"/>
                      <w:marBottom w:val="0"/>
                      <w:divBdr>
                        <w:top w:val="none" w:sz="0" w:space="0" w:color="auto"/>
                        <w:left w:val="none" w:sz="0" w:space="0" w:color="auto"/>
                        <w:bottom w:val="none" w:sz="0" w:space="0" w:color="auto"/>
                        <w:right w:val="none" w:sz="0" w:space="0" w:color="auto"/>
                      </w:divBdr>
                      <w:divsChild>
                        <w:div w:id="1968076743">
                          <w:marLeft w:val="0"/>
                          <w:marRight w:val="0"/>
                          <w:marTop w:val="0"/>
                          <w:marBottom w:val="165"/>
                          <w:divBdr>
                            <w:top w:val="none" w:sz="0" w:space="0" w:color="auto"/>
                            <w:left w:val="none" w:sz="0" w:space="0" w:color="auto"/>
                            <w:bottom w:val="none" w:sz="0" w:space="0" w:color="auto"/>
                            <w:right w:val="none" w:sz="0" w:space="0" w:color="auto"/>
                          </w:divBdr>
                          <w:divsChild>
                            <w:div w:id="458185297">
                              <w:marLeft w:val="0"/>
                              <w:marRight w:val="0"/>
                              <w:marTop w:val="0"/>
                              <w:marBottom w:val="0"/>
                              <w:divBdr>
                                <w:top w:val="none" w:sz="0" w:space="0" w:color="auto"/>
                                <w:left w:val="none" w:sz="0" w:space="0" w:color="auto"/>
                                <w:bottom w:val="none" w:sz="0" w:space="0" w:color="auto"/>
                                <w:right w:val="none" w:sz="0" w:space="0" w:color="auto"/>
                              </w:divBdr>
                              <w:divsChild>
                                <w:div w:id="897009746">
                                  <w:marLeft w:val="0"/>
                                  <w:marRight w:val="0"/>
                                  <w:marTop w:val="120"/>
                                  <w:marBottom w:val="0"/>
                                  <w:divBdr>
                                    <w:top w:val="none" w:sz="0" w:space="0" w:color="auto"/>
                                    <w:left w:val="none" w:sz="0" w:space="0" w:color="auto"/>
                                    <w:bottom w:val="none" w:sz="0" w:space="0" w:color="auto"/>
                                    <w:right w:val="none" w:sz="0" w:space="0" w:color="auto"/>
                                  </w:divBdr>
                                  <w:divsChild>
                                    <w:div w:id="591085734">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1254362">
      <w:bodyDiv w:val="1"/>
      <w:marLeft w:val="0"/>
      <w:marRight w:val="0"/>
      <w:marTop w:val="0"/>
      <w:marBottom w:val="0"/>
      <w:divBdr>
        <w:top w:val="none" w:sz="0" w:space="0" w:color="auto"/>
        <w:left w:val="none" w:sz="0" w:space="0" w:color="auto"/>
        <w:bottom w:val="none" w:sz="0" w:space="0" w:color="auto"/>
        <w:right w:val="none" w:sz="0" w:space="0" w:color="auto"/>
      </w:divBdr>
    </w:div>
    <w:div w:id="1391732254">
      <w:bodyDiv w:val="1"/>
      <w:marLeft w:val="0"/>
      <w:marRight w:val="0"/>
      <w:marTop w:val="0"/>
      <w:marBottom w:val="0"/>
      <w:divBdr>
        <w:top w:val="none" w:sz="0" w:space="0" w:color="auto"/>
        <w:left w:val="none" w:sz="0" w:space="0" w:color="auto"/>
        <w:bottom w:val="none" w:sz="0" w:space="0" w:color="auto"/>
        <w:right w:val="none" w:sz="0" w:space="0" w:color="auto"/>
      </w:divBdr>
    </w:div>
    <w:div w:id="1459226067">
      <w:bodyDiv w:val="1"/>
      <w:marLeft w:val="0"/>
      <w:marRight w:val="0"/>
      <w:marTop w:val="0"/>
      <w:marBottom w:val="0"/>
      <w:divBdr>
        <w:top w:val="none" w:sz="0" w:space="0" w:color="auto"/>
        <w:left w:val="none" w:sz="0" w:space="0" w:color="auto"/>
        <w:bottom w:val="none" w:sz="0" w:space="0" w:color="auto"/>
        <w:right w:val="none" w:sz="0" w:space="0" w:color="auto"/>
      </w:divBdr>
    </w:div>
    <w:div w:id="1467040143">
      <w:bodyDiv w:val="1"/>
      <w:marLeft w:val="0"/>
      <w:marRight w:val="0"/>
      <w:marTop w:val="0"/>
      <w:marBottom w:val="0"/>
      <w:divBdr>
        <w:top w:val="none" w:sz="0" w:space="0" w:color="auto"/>
        <w:left w:val="none" w:sz="0" w:space="0" w:color="auto"/>
        <w:bottom w:val="none" w:sz="0" w:space="0" w:color="auto"/>
        <w:right w:val="none" w:sz="0" w:space="0" w:color="auto"/>
      </w:divBdr>
    </w:div>
    <w:div w:id="1481729218">
      <w:bodyDiv w:val="1"/>
      <w:marLeft w:val="0"/>
      <w:marRight w:val="0"/>
      <w:marTop w:val="0"/>
      <w:marBottom w:val="0"/>
      <w:divBdr>
        <w:top w:val="none" w:sz="0" w:space="0" w:color="auto"/>
        <w:left w:val="none" w:sz="0" w:space="0" w:color="auto"/>
        <w:bottom w:val="none" w:sz="0" w:space="0" w:color="auto"/>
        <w:right w:val="none" w:sz="0" w:space="0" w:color="auto"/>
      </w:divBdr>
    </w:div>
    <w:div w:id="1516843577">
      <w:bodyDiv w:val="1"/>
      <w:marLeft w:val="0"/>
      <w:marRight w:val="0"/>
      <w:marTop w:val="0"/>
      <w:marBottom w:val="0"/>
      <w:divBdr>
        <w:top w:val="none" w:sz="0" w:space="0" w:color="auto"/>
        <w:left w:val="none" w:sz="0" w:space="0" w:color="auto"/>
        <w:bottom w:val="none" w:sz="0" w:space="0" w:color="auto"/>
        <w:right w:val="none" w:sz="0" w:space="0" w:color="auto"/>
      </w:divBdr>
      <w:divsChild>
        <w:div w:id="996761395">
          <w:marLeft w:val="0"/>
          <w:marRight w:val="0"/>
          <w:marTop w:val="0"/>
          <w:marBottom w:val="0"/>
          <w:divBdr>
            <w:top w:val="none" w:sz="0" w:space="0" w:color="auto"/>
            <w:left w:val="none" w:sz="0" w:space="0" w:color="auto"/>
            <w:bottom w:val="none" w:sz="0" w:space="0" w:color="auto"/>
            <w:right w:val="none" w:sz="0" w:space="0" w:color="auto"/>
          </w:divBdr>
          <w:divsChild>
            <w:div w:id="536821352">
              <w:marLeft w:val="0"/>
              <w:marRight w:val="0"/>
              <w:marTop w:val="0"/>
              <w:marBottom w:val="0"/>
              <w:divBdr>
                <w:top w:val="none" w:sz="0" w:space="0" w:color="auto"/>
                <w:left w:val="none" w:sz="0" w:space="0" w:color="auto"/>
                <w:bottom w:val="none" w:sz="0" w:space="0" w:color="auto"/>
                <w:right w:val="none" w:sz="0" w:space="0" w:color="auto"/>
              </w:divBdr>
              <w:divsChild>
                <w:div w:id="590284167">
                  <w:marLeft w:val="0"/>
                  <w:marRight w:val="0"/>
                  <w:marTop w:val="0"/>
                  <w:marBottom w:val="0"/>
                  <w:divBdr>
                    <w:top w:val="none" w:sz="0" w:space="0" w:color="auto"/>
                    <w:left w:val="none" w:sz="0" w:space="0" w:color="auto"/>
                    <w:bottom w:val="none" w:sz="0" w:space="0" w:color="auto"/>
                    <w:right w:val="none" w:sz="0" w:space="0" w:color="auto"/>
                  </w:divBdr>
                  <w:divsChild>
                    <w:div w:id="1984702004">
                      <w:marLeft w:val="0"/>
                      <w:marRight w:val="240"/>
                      <w:marTop w:val="0"/>
                      <w:marBottom w:val="0"/>
                      <w:divBdr>
                        <w:top w:val="none" w:sz="0" w:space="0" w:color="auto"/>
                        <w:left w:val="none" w:sz="0" w:space="0" w:color="auto"/>
                        <w:bottom w:val="none" w:sz="0" w:space="0" w:color="auto"/>
                        <w:right w:val="none" w:sz="0" w:space="0" w:color="auto"/>
                      </w:divBdr>
                      <w:divsChild>
                        <w:div w:id="246809473">
                          <w:marLeft w:val="0"/>
                          <w:marRight w:val="0"/>
                          <w:marTop w:val="0"/>
                          <w:marBottom w:val="165"/>
                          <w:divBdr>
                            <w:top w:val="none" w:sz="0" w:space="0" w:color="auto"/>
                            <w:left w:val="none" w:sz="0" w:space="0" w:color="auto"/>
                            <w:bottom w:val="none" w:sz="0" w:space="0" w:color="auto"/>
                            <w:right w:val="none" w:sz="0" w:space="0" w:color="auto"/>
                          </w:divBdr>
                          <w:divsChild>
                            <w:div w:id="1689598974">
                              <w:marLeft w:val="0"/>
                              <w:marRight w:val="0"/>
                              <w:marTop w:val="0"/>
                              <w:marBottom w:val="0"/>
                              <w:divBdr>
                                <w:top w:val="none" w:sz="0" w:space="0" w:color="auto"/>
                                <w:left w:val="none" w:sz="0" w:space="0" w:color="auto"/>
                                <w:bottom w:val="none" w:sz="0" w:space="0" w:color="auto"/>
                                <w:right w:val="none" w:sz="0" w:space="0" w:color="auto"/>
                              </w:divBdr>
                              <w:divsChild>
                                <w:div w:id="2007200191">
                                  <w:marLeft w:val="0"/>
                                  <w:marRight w:val="0"/>
                                  <w:marTop w:val="120"/>
                                  <w:marBottom w:val="0"/>
                                  <w:divBdr>
                                    <w:top w:val="none" w:sz="0" w:space="0" w:color="auto"/>
                                    <w:left w:val="none" w:sz="0" w:space="0" w:color="auto"/>
                                    <w:bottom w:val="none" w:sz="0" w:space="0" w:color="auto"/>
                                    <w:right w:val="none" w:sz="0" w:space="0" w:color="auto"/>
                                  </w:divBdr>
                                  <w:divsChild>
                                    <w:div w:id="546533250">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318008">
      <w:bodyDiv w:val="1"/>
      <w:marLeft w:val="0"/>
      <w:marRight w:val="0"/>
      <w:marTop w:val="0"/>
      <w:marBottom w:val="0"/>
      <w:divBdr>
        <w:top w:val="none" w:sz="0" w:space="0" w:color="auto"/>
        <w:left w:val="none" w:sz="0" w:space="0" w:color="auto"/>
        <w:bottom w:val="none" w:sz="0" w:space="0" w:color="auto"/>
        <w:right w:val="none" w:sz="0" w:space="0" w:color="auto"/>
      </w:divBdr>
    </w:div>
    <w:div w:id="1588150940">
      <w:bodyDiv w:val="1"/>
      <w:marLeft w:val="0"/>
      <w:marRight w:val="0"/>
      <w:marTop w:val="0"/>
      <w:marBottom w:val="0"/>
      <w:divBdr>
        <w:top w:val="none" w:sz="0" w:space="0" w:color="auto"/>
        <w:left w:val="none" w:sz="0" w:space="0" w:color="auto"/>
        <w:bottom w:val="none" w:sz="0" w:space="0" w:color="auto"/>
        <w:right w:val="none" w:sz="0" w:space="0" w:color="auto"/>
      </w:divBdr>
    </w:div>
    <w:div w:id="1621913457">
      <w:bodyDiv w:val="1"/>
      <w:marLeft w:val="0"/>
      <w:marRight w:val="0"/>
      <w:marTop w:val="0"/>
      <w:marBottom w:val="0"/>
      <w:divBdr>
        <w:top w:val="none" w:sz="0" w:space="0" w:color="auto"/>
        <w:left w:val="none" w:sz="0" w:space="0" w:color="auto"/>
        <w:bottom w:val="none" w:sz="0" w:space="0" w:color="auto"/>
        <w:right w:val="none" w:sz="0" w:space="0" w:color="auto"/>
      </w:divBdr>
      <w:divsChild>
        <w:div w:id="845172460">
          <w:marLeft w:val="0"/>
          <w:marRight w:val="0"/>
          <w:marTop w:val="0"/>
          <w:marBottom w:val="0"/>
          <w:divBdr>
            <w:top w:val="none" w:sz="0" w:space="0" w:color="auto"/>
            <w:left w:val="none" w:sz="0" w:space="0" w:color="auto"/>
            <w:bottom w:val="none" w:sz="0" w:space="0" w:color="auto"/>
            <w:right w:val="none" w:sz="0" w:space="0" w:color="auto"/>
          </w:divBdr>
          <w:divsChild>
            <w:div w:id="1193684596">
              <w:marLeft w:val="0"/>
              <w:marRight w:val="0"/>
              <w:marTop w:val="0"/>
              <w:marBottom w:val="0"/>
              <w:divBdr>
                <w:top w:val="none" w:sz="0" w:space="0" w:color="auto"/>
                <w:left w:val="none" w:sz="0" w:space="0" w:color="auto"/>
                <w:bottom w:val="none" w:sz="0" w:space="0" w:color="auto"/>
                <w:right w:val="none" w:sz="0" w:space="0" w:color="auto"/>
              </w:divBdr>
              <w:divsChild>
                <w:div w:id="293561937">
                  <w:marLeft w:val="0"/>
                  <w:marRight w:val="0"/>
                  <w:marTop w:val="0"/>
                  <w:marBottom w:val="0"/>
                  <w:divBdr>
                    <w:top w:val="none" w:sz="0" w:space="0" w:color="auto"/>
                    <w:left w:val="none" w:sz="0" w:space="0" w:color="auto"/>
                    <w:bottom w:val="none" w:sz="0" w:space="0" w:color="auto"/>
                    <w:right w:val="none" w:sz="0" w:space="0" w:color="auto"/>
                  </w:divBdr>
                  <w:divsChild>
                    <w:div w:id="1460875411">
                      <w:marLeft w:val="0"/>
                      <w:marRight w:val="240"/>
                      <w:marTop w:val="0"/>
                      <w:marBottom w:val="0"/>
                      <w:divBdr>
                        <w:top w:val="none" w:sz="0" w:space="0" w:color="auto"/>
                        <w:left w:val="none" w:sz="0" w:space="0" w:color="auto"/>
                        <w:bottom w:val="none" w:sz="0" w:space="0" w:color="auto"/>
                        <w:right w:val="none" w:sz="0" w:space="0" w:color="auto"/>
                      </w:divBdr>
                      <w:divsChild>
                        <w:div w:id="119811981">
                          <w:marLeft w:val="0"/>
                          <w:marRight w:val="0"/>
                          <w:marTop w:val="0"/>
                          <w:marBottom w:val="165"/>
                          <w:divBdr>
                            <w:top w:val="none" w:sz="0" w:space="0" w:color="auto"/>
                            <w:left w:val="none" w:sz="0" w:space="0" w:color="auto"/>
                            <w:bottom w:val="none" w:sz="0" w:space="0" w:color="auto"/>
                            <w:right w:val="none" w:sz="0" w:space="0" w:color="auto"/>
                          </w:divBdr>
                          <w:divsChild>
                            <w:div w:id="1708065088">
                              <w:marLeft w:val="0"/>
                              <w:marRight w:val="0"/>
                              <w:marTop w:val="0"/>
                              <w:marBottom w:val="0"/>
                              <w:divBdr>
                                <w:top w:val="none" w:sz="0" w:space="0" w:color="auto"/>
                                <w:left w:val="none" w:sz="0" w:space="0" w:color="auto"/>
                                <w:bottom w:val="none" w:sz="0" w:space="0" w:color="auto"/>
                                <w:right w:val="none" w:sz="0" w:space="0" w:color="auto"/>
                              </w:divBdr>
                              <w:divsChild>
                                <w:div w:id="586185029">
                                  <w:marLeft w:val="0"/>
                                  <w:marRight w:val="0"/>
                                  <w:marTop w:val="120"/>
                                  <w:marBottom w:val="0"/>
                                  <w:divBdr>
                                    <w:top w:val="none" w:sz="0" w:space="0" w:color="auto"/>
                                    <w:left w:val="none" w:sz="0" w:space="0" w:color="auto"/>
                                    <w:bottom w:val="none" w:sz="0" w:space="0" w:color="auto"/>
                                    <w:right w:val="none" w:sz="0" w:space="0" w:color="auto"/>
                                  </w:divBdr>
                                  <w:divsChild>
                                    <w:div w:id="534005355">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754385">
      <w:bodyDiv w:val="1"/>
      <w:marLeft w:val="0"/>
      <w:marRight w:val="0"/>
      <w:marTop w:val="0"/>
      <w:marBottom w:val="0"/>
      <w:divBdr>
        <w:top w:val="none" w:sz="0" w:space="0" w:color="auto"/>
        <w:left w:val="none" w:sz="0" w:space="0" w:color="auto"/>
        <w:bottom w:val="none" w:sz="0" w:space="0" w:color="auto"/>
        <w:right w:val="none" w:sz="0" w:space="0" w:color="auto"/>
      </w:divBdr>
    </w:div>
    <w:div w:id="1779988223">
      <w:bodyDiv w:val="1"/>
      <w:marLeft w:val="0"/>
      <w:marRight w:val="0"/>
      <w:marTop w:val="0"/>
      <w:marBottom w:val="0"/>
      <w:divBdr>
        <w:top w:val="none" w:sz="0" w:space="0" w:color="auto"/>
        <w:left w:val="none" w:sz="0" w:space="0" w:color="auto"/>
        <w:bottom w:val="none" w:sz="0" w:space="0" w:color="auto"/>
        <w:right w:val="none" w:sz="0" w:space="0" w:color="auto"/>
      </w:divBdr>
      <w:divsChild>
        <w:div w:id="16507915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827507">
              <w:marLeft w:val="0"/>
              <w:marRight w:val="0"/>
              <w:marTop w:val="0"/>
              <w:marBottom w:val="0"/>
              <w:divBdr>
                <w:top w:val="none" w:sz="0" w:space="0" w:color="auto"/>
                <w:left w:val="none" w:sz="0" w:space="0" w:color="auto"/>
                <w:bottom w:val="none" w:sz="0" w:space="0" w:color="auto"/>
                <w:right w:val="none" w:sz="0" w:space="0" w:color="auto"/>
              </w:divBdr>
              <w:divsChild>
                <w:div w:id="9993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559600">
      <w:bodyDiv w:val="1"/>
      <w:marLeft w:val="0"/>
      <w:marRight w:val="0"/>
      <w:marTop w:val="0"/>
      <w:marBottom w:val="0"/>
      <w:divBdr>
        <w:top w:val="none" w:sz="0" w:space="0" w:color="auto"/>
        <w:left w:val="none" w:sz="0" w:space="0" w:color="auto"/>
        <w:bottom w:val="none" w:sz="0" w:space="0" w:color="auto"/>
        <w:right w:val="none" w:sz="0" w:space="0" w:color="auto"/>
      </w:divBdr>
      <w:divsChild>
        <w:div w:id="636305422">
          <w:marLeft w:val="0"/>
          <w:marRight w:val="0"/>
          <w:marTop w:val="0"/>
          <w:marBottom w:val="0"/>
          <w:divBdr>
            <w:top w:val="none" w:sz="0" w:space="0" w:color="auto"/>
            <w:left w:val="none" w:sz="0" w:space="0" w:color="auto"/>
            <w:bottom w:val="none" w:sz="0" w:space="0" w:color="auto"/>
            <w:right w:val="none" w:sz="0" w:space="0" w:color="auto"/>
          </w:divBdr>
        </w:div>
        <w:div w:id="848376917">
          <w:marLeft w:val="0"/>
          <w:marRight w:val="0"/>
          <w:marTop w:val="0"/>
          <w:marBottom w:val="0"/>
          <w:divBdr>
            <w:top w:val="none" w:sz="0" w:space="0" w:color="auto"/>
            <w:left w:val="none" w:sz="0" w:space="0" w:color="auto"/>
            <w:bottom w:val="none" w:sz="0" w:space="0" w:color="auto"/>
            <w:right w:val="none" w:sz="0" w:space="0" w:color="auto"/>
          </w:divBdr>
        </w:div>
      </w:divsChild>
    </w:div>
    <w:div w:id="1833567104">
      <w:bodyDiv w:val="1"/>
      <w:marLeft w:val="0"/>
      <w:marRight w:val="0"/>
      <w:marTop w:val="0"/>
      <w:marBottom w:val="0"/>
      <w:divBdr>
        <w:top w:val="none" w:sz="0" w:space="0" w:color="auto"/>
        <w:left w:val="none" w:sz="0" w:space="0" w:color="auto"/>
        <w:bottom w:val="none" w:sz="0" w:space="0" w:color="auto"/>
        <w:right w:val="none" w:sz="0" w:space="0" w:color="auto"/>
      </w:divBdr>
    </w:div>
    <w:div w:id="1890190351">
      <w:bodyDiv w:val="1"/>
      <w:marLeft w:val="0"/>
      <w:marRight w:val="0"/>
      <w:marTop w:val="0"/>
      <w:marBottom w:val="0"/>
      <w:divBdr>
        <w:top w:val="none" w:sz="0" w:space="0" w:color="auto"/>
        <w:left w:val="none" w:sz="0" w:space="0" w:color="auto"/>
        <w:bottom w:val="none" w:sz="0" w:space="0" w:color="auto"/>
        <w:right w:val="none" w:sz="0" w:space="0" w:color="auto"/>
      </w:divBdr>
      <w:divsChild>
        <w:div w:id="871302309">
          <w:marLeft w:val="0"/>
          <w:marRight w:val="0"/>
          <w:marTop w:val="0"/>
          <w:marBottom w:val="0"/>
          <w:divBdr>
            <w:top w:val="none" w:sz="0" w:space="0" w:color="auto"/>
            <w:left w:val="none" w:sz="0" w:space="0" w:color="auto"/>
            <w:bottom w:val="none" w:sz="0" w:space="0" w:color="auto"/>
            <w:right w:val="none" w:sz="0" w:space="0" w:color="auto"/>
          </w:divBdr>
        </w:div>
        <w:div w:id="956062035">
          <w:marLeft w:val="0"/>
          <w:marRight w:val="0"/>
          <w:marTop w:val="0"/>
          <w:marBottom w:val="0"/>
          <w:divBdr>
            <w:top w:val="none" w:sz="0" w:space="0" w:color="auto"/>
            <w:left w:val="none" w:sz="0" w:space="0" w:color="auto"/>
            <w:bottom w:val="none" w:sz="0" w:space="0" w:color="auto"/>
            <w:right w:val="none" w:sz="0" w:space="0" w:color="auto"/>
          </w:divBdr>
        </w:div>
      </w:divsChild>
    </w:div>
    <w:div w:id="1926841590">
      <w:bodyDiv w:val="1"/>
      <w:marLeft w:val="0"/>
      <w:marRight w:val="0"/>
      <w:marTop w:val="0"/>
      <w:marBottom w:val="0"/>
      <w:divBdr>
        <w:top w:val="none" w:sz="0" w:space="0" w:color="auto"/>
        <w:left w:val="none" w:sz="0" w:space="0" w:color="auto"/>
        <w:bottom w:val="none" w:sz="0" w:space="0" w:color="auto"/>
        <w:right w:val="none" w:sz="0" w:space="0" w:color="auto"/>
      </w:divBdr>
    </w:div>
    <w:div w:id="1961450980">
      <w:bodyDiv w:val="1"/>
      <w:marLeft w:val="0"/>
      <w:marRight w:val="0"/>
      <w:marTop w:val="0"/>
      <w:marBottom w:val="0"/>
      <w:divBdr>
        <w:top w:val="none" w:sz="0" w:space="0" w:color="auto"/>
        <w:left w:val="none" w:sz="0" w:space="0" w:color="auto"/>
        <w:bottom w:val="none" w:sz="0" w:space="0" w:color="auto"/>
        <w:right w:val="none" w:sz="0" w:space="0" w:color="auto"/>
      </w:divBdr>
      <w:divsChild>
        <w:div w:id="1927764391">
          <w:marLeft w:val="0"/>
          <w:marRight w:val="0"/>
          <w:marTop w:val="0"/>
          <w:marBottom w:val="0"/>
          <w:divBdr>
            <w:top w:val="none" w:sz="0" w:space="0" w:color="auto"/>
            <w:left w:val="none" w:sz="0" w:space="0" w:color="auto"/>
            <w:bottom w:val="none" w:sz="0" w:space="0" w:color="auto"/>
            <w:right w:val="none" w:sz="0" w:space="0" w:color="auto"/>
          </w:divBdr>
          <w:divsChild>
            <w:div w:id="741098604">
              <w:marLeft w:val="0"/>
              <w:marRight w:val="0"/>
              <w:marTop w:val="0"/>
              <w:marBottom w:val="0"/>
              <w:divBdr>
                <w:top w:val="none" w:sz="0" w:space="0" w:color="auto"/>
                <w:left w:val="none" w:sz="0" w:space="0" w:color="auto"/>
                <w:bottom w:val="none" w:sz="0" w:space="0" w:color="auto"/>
                <w:right w:val="none" w:sz="0" w:space="0" w:color="auto"/>
              </w:divBdr>
              <w:divsChild>
                <w:div w:id="1569919295">
                  <w:marLeft w:val="0"/>
                  <w:marRight w:val="0"/>
                  <w:marTop w:val="0"/>
                  <w:marBottom w:val="0"/>
                  <w:divBdr>
                    <w:top w:val="none" w:sz="0" w:space="0" w:color="auto"/>
                    <w:left w:val="none" w:sz="0" w:space="0" w:color="auto"/>
                    <w:bottom w:val="none" w:sz="0" w:space="0" w:color="auto"/>
                    <w:right w:val="none" w:sz="0" w:space="0" w:color="auto"/>
                  </w:divBdr>
                  <w:divsChild>
                    <w:div w:id="2040082898">
                      <w:marLeft w:val="0"/>
                      <w:marRight w:val="240"/>
                      <w:marTop w:val="0"/>
                      <w:marBottom w:val="0"/>
                      <w:divBdr>
                        <w:top w:val="none" w:sz="0" w:space="0" w:color="auto"/>
                        <w:left w:val="none" w:sz="0" w:space="0" w:color="auto"/>
                        <w:bottom w:val="none" w:sz="0" w:space="0" w:color="auto"/>
                        <w:right w:val="none" w:sz="0" w:space="0" w:color="auto"/>
                      </w:divBdr>
                      <w:divsChild>
                        <w:div w:id="759103795">
                          <w:marLeft w:val="0"/>
                          <w:marRight w:val="0"/>
                          <w:marTop w:val="0"/>
                          <w:marBottom w:val="165"/>
                          <w:divBdr>
                            <w:top w:val="none" w:sz="0" w:space="0" w:color="auto"/>
                            <w:left w:val="none" w:sz="0" w:space="0" w:color="auto"/>
                            <w:bottom w:val="none" w:sz="0" w:space="0" w:color="auto"/>
                            <w:right w:val="none" w:sz="0" w:space="0" w:color="auto"/>
                          </w:divBdr>
                          <w:divsChild>
                            <w:div w:id="497422605">
                              <w:marLeft w:val="0"/>
                              <w:marRight w:val="0"/>
                              <w:marTop w:val="0"/>
                              <w:marBottom w:val="0"/>
                              <w:divBdr>
                                <w:top w:val="none" w:sz="0" w:space="0" w:color="auto"/>
                                <w:left w:val="none" w:sz="0" w:space="0" w:color="auto"/>
                                <w:bottom w:val="none" w:sz="0" w:space="0" w:color="auto"/>
                                <w:right w:val="none" w:sz="0" w:space="0" w:color="auto"/>
                              </w:divBdr>
                              <w:divsChild>
                                <w:div w:id="163056575">
                                  <w:marLeft w:val="0"/>
                                  <w:marRight w:val="0"/>
                                  <w:marTop w:val="120"/>
                                  <w:marBottom w:val="0"/>
                                  <w:divBdr>
                                    <w:top w:val="none" w:sz="0" w:space="0" w:color="auto"/>
                                    <w:left w:val="none" w:sz="0" w:space="0" w:color="auto"/>
                                    <w:bottom w:val="none" w:sz="0" w:space="0" w:color="auto"/>
                                    <w:right w:val="none" w:sz="0" w:space="0" w:color="auto"/>
                                  </w:divBdr>
                                  <w:divsChild>
                                    <w:div w:id="445394050">
                                      <w:marLeft w:val="0"/>
                                      <w:marRight w:val="0"/>
                                      <w:marTop w:val="3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7830241">
      <w:bodyDiv w:val="1"/>
      <w:marLeft w:val="0"/>
      <w:marRight w:val="0"/>
      <w:marTop w:val="0"/>
      <w:marBottom w:val="0"/>
      <w:divBdr>
        <w:top w:val="none" w:sz="0" w:space="0" w:color="auto"/>
        <w:left w:val="none" w:sz="0" w:space="0" w:color="auto"/>
        <w:bottom w:val="none" w:sz="0" w:space="0" w:color="auto"/>
        <w:right w:val="none" w:sz="0" w:space="0" w:color="auto"/>
      </w:divBdr>
    </w:div>
    <w:div w:id="2008048764">
      <w:bodyDiv w:val="1"/>
      <w:marLeft w:val="0"/>
      <w:marRight w:val="0"/>
      <w:marTop w:val="0"/>
      <w:marBottom w:val="0"/>
      <w:divBdr>
        <w:top w:val="none" w:sz="0" w:space="0" w:color="auto"/>
        <w:left w:val="none" w:sz="0" w:space="0" w:color="auto"/>
        <w:bottom w:val="none" w:sz="0" w:space="0" w:color="auto"/>
        <w:right w:val="none" w:sz="0" w:space="0" w:color="auto"/>
      </w:divBdr>
      <w:divsChild>
        <w:div w:id="669407370">
          <w:marLeft w:val="0"/>
          <w:marRight w:val="0"/>
          <w:marTop w:val="0"/>
          <w:marBottom w:val="0"/>
          <w:divBdr>
            <w:top w:val="none" w:sz="0" w:space="0" w:color="auto"/>
            <w:left w:val="none" w:sz="0" w:space="0" w:color="auto"/>
            <w:bottom w:val="none" w:sz="0" w:space="0" w:color="auto"/>
            <w:right w:val="none" w:sz="0" w:space="0" w:color="auto"/>
          </w:divBdr>
        </w:div>
        <w:div w:id="753824292">
          <w:marLeft w:val="0"/>
          <w:marRight w:val="0"/>
          <w:marTop w:val="0"/>
          <w:marBottom w:val="0"/>
          <w:divBdr>
            <w:top w:val="none" w:sz="0" w:space="0" w:color="auto"/>
            <w:left w:val="none" w:sz="0" w:space="0" w:color="auto"/>
            <w:bottom w:val="none" w:sz="0" w:space="0" w:color="auto"/>
            <w:right w:val="none" w:sz="0" w:space="0" w:color="auto"/>
          </w:divBdr>
        </w:div>
        <w:div w:id="878316803">
          <w:marLeft w:val="0"/>
          <w:marRight w:val="0"/>
          <w:marTop w:val="0"/>
          <w:marBottom w:val="0"/>
          <w:divBdr>
            <w:top w:val="none" w:sz="0" w:space="0" w:color="auto"/>
            <w:left w:val="none" w:sz="0" w:space="0" w:color="auto"/>
            <w:bottom w:val="none" w:sz="0" w:space="0" w:color="auto"/>
            <w:right w:val="none" w:sz="0" w:space="0" w:color="auto"/>
          </w:divBdr>
        </w:div>
        <w:div w:id="10800568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www.orph-val.org/" TargetMode="External"/><Relationship Id="rId3" Type="http://schemas.openxmlformats.org/officeDocument/2006/relationships/hyperlink" Target="http://www.ema.europa.eu/docs/en_GB/document_library/Scientific_guideline/2016/03/WC500202774.pdf" TargetMode="External"/><Relationship Id="rId7" Type="http://schemas.openxmlformats.org/officeDocument/2006/relationships/hyperlink" Target="https://www.eurordis.org/content/moca" TargetMode="External"/><Relationship Id="rId12" Type="http://schemas.openxmlformats.org/officeDocument/2006/relationships/hyperlink" Target="http://download2.eurordis.org.s3.amazonaws.com/positionpapers/eurordis_access_position_paper_final_4122017.pdf" TargetMode="External"/><Relationship Id="rId2" Type="http://schemas.openxmlformats.org/officeDocument/2006/relationships/hyperlink" Target="http://www.ema.europa.eu/ema/index.jsp?curl=pages/regulation/general/general_content_000601.jsp" TargetMode="External"/><Relationship Id="rId1" Type="http://schemas.openxmlformats.org/officeDocument/2006/relationships/hyperlink" Target="http://www.ema.europa.eu/ema/index.jsp?curl=pages/regulation/general/general_content_000660.jsp&amp;mid=WC0b01ac05809f8439" TargetMode="External"/><Relationship Id="rId6" Type="http://schemas.openxmlformats.org/officeDocument/2006/relationships/hyperlink" Target="https://www.infographic.adaptsmart.eu/" TargetMode="External"/><Relationship Id="rId11" Type="http://schemas.openxmlformats.org/officeDocument/2006/relationships/hyperlink" Target="http://www.irdirc.org/statistical-design-and-analysis-of-small-population-group-trials/" TargetMode="External"/><Relationship Id="rId5" Type="http://schemas.openxmlformats.org/officeDocument/2006/relationships/hyperlink" Target="http://www.imi-getreal.eu/" TargetMode="External"/><Relationship Id="rId10" Type="http://schemas.openxmlformats.org/officeDocument/2006/relationships/hyperlink" Target="https://icer-review.org/material/rwe-white-paper/" TargetMode="External"/><Relationship Id="rId4" Type="http://schemas.openxmlformats.org/officeDocument/2006/relationships/hyperlink" Target="file:///C:\Users\kface\AppData\Local\Microsoft\Windows\INetCache\Content.Outlook\LQQ5QQDG\Scientific%20guidance%20on%20post-authorisation%20efficacy%20studies" TargetMode="External"/><Relationship Id="rId9" Type="http://schemas.openxmlformats.org/officeDocument/2006/relationships/hyperlink" Target="https://www.inami.fgov.be/fr/themes/cout-remboursement/par-mutualite/medicament-produits-sante/remboursement/medicaments-innovants/Pages/innovative-medicins-lifecycle.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James\Design\FIPRA\_Templates\141203%20Fipra%20Document%20Template.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5216B3-0B09-3749-9FBA-5145FB477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D:\Users\James\Design\FIPRA\_Templates\141203 Fipra Document Template.dotx</Template>
  <TotalTime>6</TotalTime>
  <Pages>18</Pages>
  <Words>4683</Words>
  <Characters>26695</Characters>
  <Application>Microsoft Office Word</Application>
  <DocSecurity>0</DocSecurity>
  <Lines>222</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Fipra</vt:lpstr>
      <vt:lpstr>Fipra</vt:lpstr>
    </vt:vector>
  </TitlesOfParts>
  <Company>FIPRA</Company>
  <LinksUpToDate>false</LinksUpToDate>
  <CharactersWithSpaces>31316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Fipra</dc:title>
  <dc:creator>James Kontargyris</dc:creator>
  <cp:lastModifiedBy>Marine Borchardt</cp:lastModifiedBy>
  <cp:revision>6</cp:revision>
  <cp:lastPrinted>2019-01-31T15:28:00Z</cp:lastPrinted>
  <dcterms:created xsi:type="dcterms:W3CDTF">2019-03-04T09:37:00Z</dcterms:created>
  <dcterms:modified xsi:type="dcterms:W3CDTF">2019-03-14T09:33:00Z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