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27E07B" w14:textId="0D894230" w:rsidR="00110EE8" w:rsidRDefault="00A728D3" w:rsidP="00110EE8">
      <w:pPr>
        <w:pStyle w:val="Title"/>
      </w:pPr>
      <w:r w:rsidRPr="00D945A7">
        <w:t>White Paper</w:t>
      </w:r>
      <w:r w:rsidR="00434C81">
        <w:t>:</w:t>
      </w:r>
    </w:p>
    <w:p w14:paraId="1B7854E5" w14:textId="77777777" w:rsidR="00110EE8" w:rsidRDefault="005103D0" w:rsidP="00110EE8">
      <w:pPr>
        <w:pStyle w:val="Title"/>
      </w:pPr>
      <w:r>
        <w:t xml:space="preserve">driving innovation – </w:t>
      </w:r>
    </w:p>
    <w:p w14:paraId="00594C75" w14:textId="65BCEA60" w:rsidR="001E59C1" w:rsidRPr="00D945A7" w:rsidRDefault="005103D0" w:rsidP="00110EE8">
      <w:pPr>
        <w:pStyle w:val="Title"/>
        <w:rPr>
          <w:rStyle w:val="BookTitle"/>
          <w:b/>
          <w:bCs w:val="0"/>
          <w:iCs w:val="0"/>
          <w:spacing w:val="10"/>
          <w:sz w:val="48"/>
        </w:rPr>
      </w:pPr>
      <w:r>
        <w:t xml:space="preserve">a broad understanding of </w:t>
      </w:r>
      <w:r w:rsidR="00A728D3" w:rsidRPr="00D945A7">
        <w:t>Unmet medical</w:t>
      </w:r>
      <w:r w:rsidR="00F50533">
        <w:t xml:space="preserve"> needs</w:t>
      </w:r>
      <w:r w:rsidR="00A728D3" w:rsidRPr="00D945A7">
        <w:t xml:space="preserve"> </w:t>
      </w:r>
    </w:p>
    <w:p w14:paraId="7CD6C64B" w14:textId="67F1A7DA" w:rsidR="006D52C9" w:rsidRDefault="00C922E7" w:rsidP="00084A0D">
      <w:pPr>
        <w:pStyle w:val="Heading1"/>
      </w:pPr>
      <w:r>
        <w:t>Executive summary</w:t>
      </w:r>
    </w:p>
    <w:p w14:paraId="713A6787" w14:textId="3547A025" w:rsidR="0061169B" w:rsidRPr="0061169B" w:rsidRDefault="0061169B" w:rsidP="0061169B">
      <w:pPr>
        <w:pStyle w:val="NormalWeb"/>
        <w:spacing w:before="0" w:beforeAutospacing="0" w:after="0" w:afterAutospacing="0"/>
        <w:jc w:val="both"/>
        <w:rPr>
          <w:rFonts w:ascii="Arial" w:hAnsi="Arial" w:cs="Arial"/>
          <w:color w:val="0E101A"/>
        </w:rPr>
      </w:pPr>
      <w:r w:rsidRPr="0061169B">
        <w:rPr>
          <w:rFonts w:ascii="Arial" w:hAnsi="Arial" w:cs="Arial"/>
          <w:color w:val="0E101A"/>
        </w:rPr>
        <w:t xml:space="preserve">As part of the revision of the pharmaceutical legislative framework, the </w:t>
      </w:r>
      <w:r w:rsidRPr="0061169B">
        <w:rPr>
          <w:rFonts w:ascii="Arial" w:hAnsi="Arial" w:cs="Arial"/>
          <w:color w:val="0E101A"/>
          <w:lang w:val="en-US"/>
        </w:rPr>
        <w:t>European</w:t>
      </w:r>
      <w:r w:rsidRPr="0061169B">
        <w:rPr>
          <w:rFonts w:ascii="Arial" w:hAnsi="Arial" w:cs="Arial"/>
          <w:color w:val="0E101A"/>
        </w:rPr>
        <w:t xml:space="preserve"> Commission is considering adopting a</w:t>
      </w:r>
      <w:r w:rsidRPr="0061169B">
        <w:rPr>
          <w:rFonts w:ascii="Arial" w:hAnsi="Arial" w:cs="Arial"/>
          <w:color w:val="0E101A"/>
          <w:lang w:val="en-US"/>
        </w:rPr>
        <w:t xml:space="preserve"> more</w:t>
      </w:r>
      <w:r w:rsidRPr="0061169B">
        <w:rPr>
          <w:rFonts w:ascii="Arial" w:hAnsi="Arial" w:cs="Arial"/>
          <w:color w:val="0E101A"/>
        </w:rPr>
        <w:t xml:space="preserve"> restrictive and criteria-based definition of Unmet Medical Need (UMN) and High Unmet </w:t>
      </w:r>
      <w:r w:rsidRPr="0061169B">
        <w:rPr>
          <w:rFonts w:ascii="Arial" w:hAnsi="Arial" w:cs="Arial"/>
          <w:color w:val="0E101A"/>
          <w:lang w:val="en-US"/>
        </w:rPr>
        <w:t>M</w:t>
      </w:r>
      <w:proofErr w:type="spellStart"/>
      <w:r w:rsidRPr="00B21DE6">
        <w:rPr>
          <w:rFonts w:ascii="Arial" w:hAnsi="Arial" w:cs="Arial"/>
          <w:b/>
          <w:bCs/>
          <w:color w:val="0E101A"/>
        </w:rPr>
        <w:t>edical</w:t>
      </w:r>
      <w:proofErr w:type="spellEnd"/>
      <w:r w:rsidRPr="0061169B">
        <w:rPr>
          <w:rFonts w:ascii="Arial" w:hAnsi="Arial" w:cs="Arial"/>
          <w:color w:val="0E101A"/>
        </w:rPr>
        <w:t xml:space="preserve"> </w:t>
      </w:r>
      <w:r w:rsidRPr="0061169B">
        <w:rPr>
          <w:rFonts w:ascii="Arial" w:hAnsi="Arial" w:cs="Arial"/>
          <w:color w:val="0E101A"/>
          <w:lang w:val="en-US"/>
        </w:rPr>
        <w:t>N</w:t>
      </w:r>
      <w:proofErr w:type="spellStart"/>
      <w:r w:rsidRPr="0061169B">
        <w:rPr>
          <w:rFonts w:ascii="Arial" w:hAnsi="Arial" w:cs="Arial"/>
          <w:color w:val="0E101A"/>
        </w:rPr>
        <w:t>eed</w:t>
      </w:r>
      <w:proofErr w:type="spellEnd"/>
      <w:r w:rsidRPr="0061169B">
        <w:rPr>
          <w:rFonts w:ascii="Arial" w:hAnsi="Arial" w:cs="Arial"/>
          <w:color w:val="0E101A"/>
        </w:rPr>
        <w:t xml:space="preserve"> (HUMN). </w:t>
      </w:r>
      <w:r w:rsidRPr="0061169B">
        <w:rPr>
          <w:rFonts w:ascii="Arial" w:hAnsi="Arial" w:cs="Arial"/>
          <w:color w:val="0E101A"/>
          <w:lang w:val="en-US"/>
        </w:rPr>
        <w:t>M</w:t>
      </w:r>
      <w:proofErr w:type="spellStart"/>
      <w:r w:rsidRPr="0061169B">
        <w:rPr>
          <w:rFonts w:ascii="Arial" w:hAnsi="Arial" w:cs="Arial"/>
          <w:color w:val="0E101A"/>
        </w:rPr>
        <w:t>aintaining</w:t>
      </w:r>
      <w:proofErr w:type="spellEnd"/>
      <w:r w:rsidRPr="0061169B">
        <w:rPr>
          <w:rFonts w:ascii="Arial" w:hAnsi="Arial" w:cs="Arial"/>
          <w:color w:val="0E101A"/>
        </w:rPr>
        <w:t xml:space="preserve"> a broad understanding of unmet medical needs has encouraged </w:t>
      </w:r>
      <w:r w:rsidR="00270FBA">
        <w:rPr>
          <w:rFonts w:ascii="Arial" w:hAnsi="Arial" w:cs="Arial"/>
          <w:color w:val="0E101A"/>
        </w:rPr>
        <w:t xml:space="preserve">the </w:t>
      </w:r>
      <w:r w:rsidRPr="0061169B">
        <w:rPr>
          <w:rFonts w:ascii="Arial" w:hAnsi="Arial" w:cs="Arial"/>
          <w:color w:val="0E101A"/>
        </w:rPr>
        <w:t xml:space="preserve">research, development and creation of new therapies that otherwise </w:t>
      </w:r>
      <w:r w:rsidRPr="0061169B">
        <w:rPr>
          <w:rFonts w:ascii="Arial" w:hAnsi="Arial" w:cs="Arial"/>
          <w:color w:val="0E101A"/>
          <w:lang w:val="en-US"/>
        </w:rPr>
        <w:t>might</w:t>
      </w:r>
      <w:r w:rsidRPr="0061169B">
        <w:rPr>
          <w:rFonts w:ascii="Arial" w:hAnsi="Arial" w:cs="Arial"/>
          <w:color w:val="0E101A"/>
        </w:rPr>
        <w:t xml:space="preserve"> not have </w:t>
      </w:r>
      <w:proofErr w:type="gramStart"/>
      <w:r w:rsidRPr="0061169B">
        <w:rPr>
          <w:rFonts w:ascii="Arial" w:hAnsi="Arial" w:cs="Arial"/>
          <w:color w:val="0E101A"/>
        </w:rPr>
        <w:t>reached  patients</w:t>
      </w:r>
      <w:proofErr w:type="gramEnd"/>
      <w:r w:rsidR="00270FBA">
        <w:rPr>
          <w:rFonts w:ascii="Arial" w:hAnsi="Arial" w:cs="Arial"/>
          <w:color w:val="0E101A"/>
        </w:rPr>
        <w:t>.</w:t>
      </w:r>
      <w:r w:rsidRPr="0061169B">
        <w:rPr>
          <w:rFonts w:ascii="Arial" w:hAnsi="Arial" w:cs="Arial"/>
          <w:color w:val="0E101A"/>
        </w:rPr>
        <w:t xml:space="preserve"> EUCOPE believes that </w:t>
      </w:r>
      <w:r w:rsidRPr="0061169B">
        <w:rPr>
          <w:rStyle w:val="Strong"/>
          <w:rFonts w:ascii="Arial" w:hAnsi="Arial" w:cs="Arial"/>
          <w:color w:val="0E101A"/>
        </w:rPr>
        <w:t>having a restrictive definition</w:t>
      </w:r>
      <w:r w:rsidRPr="0061169B">
        <w:rPr>
          <w:rFonts w:ascii="Arial" w:hAnsi="Arial" w:cs="Arial"/>
          <w:color w:val="0E101A"/>
        </w:rPr>
        <w:t xml:space="preserve"> as </w:t>
      </w:r>
      <w:r w:rsidR="00B21DE6">
        <w:rPr>
          <w:rFonts w:ascii="Arial" w:hAnsi="Arial" w:cs="Arial"/>
          <w:color w:val="0E101A"/>
          <w:lang w:val="en-US"/>
        </w:rPr>
        <w:t>written</w:t>
      </w:r>
      <w:r w:rsidR="00270FBA">
        <w:rPr>
          <w:rFonts w:ascii="Arial" w:hAnsi="Arial" w:cs="Arial"/>
          <w:color w:val="0E101A"/>
          <w:lang w:val="en-US"/>
        </w:rPr>
        <w:t xml:space="preserve"> </w:t>
      </w:r>
      <w:proofErr w:type="gramStart"/>
      <w:r w:rsidR="00270FBA">
        <w:rPr>
          <w:rFonts w:ascii="Arial" w:hAnsi="Arial" w:cs="Arial"/>
          <w:color w:val="0E101A"/>
          <w:lang w:val="en-US"/>
        </w:rPr>
        <w:t xml:space="preserve">in </w:t>
      </w:r>
      <w:r w:rsidRPr="0061169B">
        <w:rPr>
          <w:rFonts w:ascii="Arial" w:hAnsi="Arial" w:cs="Arial"/>
          <w:color w:val="0E101A"/>
          <w:lang w:val="en-US"/>
        </w:rPr>
        <w:t xml:space="preserve"> the</w:t>
      </w:r>
      <w:proofErr w:type="gramEnd"/>
      <w:r w:rsidRPr="0061169B">
        <w:rPr>
          <w:rFonts w:ascii="Arial" w:hAnsi="Arial" w:cs="Arial"/>
          <w:color w:val="0E101A"/>
          <w:lang w:val="en-US"/>
        </w:rPr>
        <w:t xml:space="preserve"> General Pharmaceutical Legislation (</w:t>
      </w:r>
      <w:r w:rsidRPr="0061169B">
        <w:rPr>
          <w:rFonts w:ascii="Arial" w:hAnsi="Arial" w:cs="Arial"/>
        </w:rPr>
        <w:t>Regulation No 726/2004 and Directive 2001/83/EC</w:t>
      </w:r>
      <w:r w:rsidRPr="0061169B">
        <w:rPr>
          <w:rFonts w:ascii="Arial" w:hAnsi="Arial" w:cs="Arial"/>
          <w:lang w:val="en-US"/>
        </w:rPr>
        <w:t>)</w:t>
      </w:r>
      <w:r w:rsidRPr="0061169B">
        <w:rPr>
          <w:rFonts w:ascii="Arial" w:hAnsi="Arial" w:cs="Arial"/>
          <w:color w:val="0E101A"/>
        </w:rPr>
        <w:t> </w:t>
      </w:r>
      <w:r w:rsidRPr="0061169B">
        <w:rPr>
          <w:rStyle w:val="Strong"/>
          <w:rFonts w:ascii="Arial" w:hAnsi="Arial" w:cs="Arial"/>
          <w:color w:val="0E101A"/>
        </w:rPr>
        <w:t>will have dramatic implications on the pharmaceutical industry, shape long-term research direction and patient</w:t>
      </w:r>
      <w:r w:rsidR="00270FBA">
        <w:rPr>
          <w:rStyle w:val="Strong"/>
          <w:rFonts w:ascii="Arial" w:hAnsi="Arial" w:cs="Arial"/>
          <w:color w:val="0E101A"/>
        </w:rPr>
        <w:t>s’</w:t>
      </w:r>
      <w:r w:rsidRPr="0061169B">
        <w:rPr>
          <w:rStyle w:val="Strong"/>
          <w:rFonts w:ascii="Arial" w:hAnsi="Arial" w:cs="Arial"/>
          <w:color w:val="0E101A"/>
        </w:rPr>
        <w:t xml:space="preserve"> access to novel therapies. </w:t>
      </w:r>
      <w:r w:rsidRPr="0061169B">
        <w:rPr>
          <w:rFonts w:ascii="Arial" w:hAnsi="Arial" w:cs="Arial"/>
          <w:color w:val="0E101A"/>
        </w:rPr>
        <w:t>Including a concept such as </w:t>
      </w:r>
      <w:proofErr w:type="gramStart"/>
      <w:r w:rsidRPr="0061169B">
        <w:rPr>
          <w:rStyle w:val="Strong"/>
          <w:rFonts w:ascii="Arial" w:hAnsi="Arial" w:cs="Arial"/>
          <w:color w:val="0E101A"/>
        </w:rPr>
        <w:t>HUMN</w:t>
      </w:r>
      <w:r w:rsidRPr="0061169B">
        <w:rPr>
          <w:rFonts w:ascii="Arial" w:hAnsi="Arial" w:cs="Arial"/>
          <w:color w:val="0E101A"/>
        </w:rPr>
        <w:t>  in</w:t>
      </w:r>
      <w:proofErr w:type="gramEnd"/>
      <w:r w:rsidRPr="0061169B">
        <w:rPr>
          <w:rFonts w:ascii="Arial" w:hAnsi="Arial" w:cs="Arial"/>
          <w:color w:val="0E101A"/>
        </w:rPr>
        <w:t xml:space="preserve"> the Orphan Medicinal Products (OMP) Regulation</w:t>
      </w:r>
      <w:r w:rsidRPr="0061169B">
        <w:rPr>
          <w:rFonts w:ascii="Arial" w:hAnsi="Arial" w:cs="Arial"/>
          <w:color w:val="0E101A"/>
          <w:lang w:val="en-US"/>
        </w:rPr>
        <w:t xml:space="preserve"> (</w:t>
      </w:r>
      <w:r w:rsidRPr="0061169B">
        <w:rPr>
          <w:rFonts w:ascii="Arial" w:hAnsi="Arial" w:cs="Arial"/>
        </w:rPr>
        <w:t>Regulation No 141/2001</w:t>
      </w:r>
      <w:r w:rsidRPr="0061169B">
        <w:rPr>
          <w:rFonts w:ascii="Arial" w:hAnsi="Arial" w:cs="Arial"/>
          <w:lang w:val="en-US"/>
        </w:rPr>
        <w:t>)</w:t>
      </w:r>
      <w:r w:rsidRPr="0061169B">
        <w:rPr>
          <w:rFonts w:ascii="Arial" w:hAnsi="Arial" w:cs="Arial"/>
          <w:color w:val="0E101A"/>
        </w:rPr>
        <w:t xml:space="preserve"> risks creating a classification of unmet needs, favouring one </w:t>
      </w:r>
      <w:r w:rsidRPr="0061169B">
        <w:rPr>
          <w:rFonts w:ascii="Arial" w:hAnsi="Arial" w:cs="Arial"/>
          <w:color w:val="0E101A"/>
          <w:lang w:val="en-US"/>
        </w:rPr>
        <w:t>patient group</w:t>
      </w:r>
      <w:r w:rsidRPr="0061169B">
        <w:rPr>
          <w:rFonts w:ascii="Arial" w:hAnsi="Arial" w:cs="Arial"/>
          <w:color w:val="0E101A"/>
        </w:rPr>
        <w:t xml:space="preserve"> at the expense of others thereby.</w:t>
      </w:r>
    </w:p>
    <w:p w14:paraId="68A287F9" w14:textId="77777777" w:rsidR="0061169B" w:rsidRPr="0061169B" w:rsidRDefault="0061169B" w:rsidP="0061169B">
      <w:pPr>
        <w:pStyle w:val="NormalWeb"/>
        <w:spacing w:before="0" w:beforeAutospacing="0" w:after="0" w:afterAutospacing="0"/>
        <w:jc w:val="both"/>
        <w:rPr>
          <w:rFonts w:ascii="Arial" w:hAnsi="Arial" w:cs="Arial"/>
          <w:color w:val="0E101A"/>
        </w:rPr>
      </w:pPr>
    </w:p>
    <w:p w14:paraId="3E4744E2" w14:textId="494CE612" w:rsidR="0061169B" w:rsidRPr="0061169B" w:rsidRDefault="0061169B" w:rsidP="0061169B">
      <w:pPr>
        <w:pStyle w:val="NormalWeb"/>
        <w:spacing w:before="0" w:beforeAutospacing="0" w:after="0" w:afterAutospacing="0"/>
        <w:jc w:val="both"/>
        <w:rPr>
          <w:rFonts w:ascii="Arial" w:hAnsi="Arial" w:cs="Arial"/>
          <w:color w:val="0E101A"/>
        </w:rPr>
      </w:pPr>
      <w:r w:rsidRPr="0061169B">
        <w:rPr>
          <w:rFonts w:ascii="Arial" w:hAnsi="Arial" w:cs="Arial"/>
          <w:color w:val="0E101A"/>
        </w:rPr>
        <w:t xml:space="preserve">The limited knowledge or understanding of certain medical conditions in the context of rare diseases is a </w:t>
      </w:r>
      <w:r w:rsidRPr="0061169B">
        <w:rPr>
          <w:rFonts w:ascii="Arial" w:hAnsi="Arial" w:cs="Arial"/>
          <w:color w:val="0E101A"/>
          <w:lang w:val="en-US"/>
        </w:rPr>
        <w:t>significant</w:t>
      </w:r>
      <w:r w:rsidRPr="0061169B">
        <w:rPr>
          <w:rFonts w:ascii="Arial" w:hAnsi="Arial" w:cs="Arial"/>
          <w:color w:val="0E101A"/>
        </w:rPr>
        <w:t xml:space="preserve"> challenge for the development of </w:t>
      </w:r>
      <w:r w:rsidRPr="0061169B">
        <w:rPr>
          <w:rFonts w:ascii="Arial" w:hAnsi="Arial" w:cs="Arial"/>
          <w:color w:val="0E101A"/>
          <w:lang w:val="en-US"/>
        </w:rPr>
        <w:t>novel</w:t>
      </w:r>
      <w:r w:rsidRPr="0061169B">
        <w:rPr>
          <w:rFonts w:ascii="Arial" w:hAnsi="Arial" w:cs="Arial"/>
          <w:color w:val="0E101A"/>
        </w:rPr>
        <w:t xml:space="preserve"> therapies. Supporting basic research will help the development of necessary treatments while allowing for enough flexibility in the commercialization of therapies, as opposed to attempting to direct research through UMN definitions. </w:t>
      </w:r>
      <w:r>
        <w:rPr>
          <w:rFonts w:ascii="Arial" w:hAnsi="Arial" w:cs="Arial"/>
          <w:color w:val="0E101A"/>
        </w:rPr>
        <w:t>A</w:t>
      </w:r>
      <w:r w:rsidRPr="0061169B">
        <w:rPr>
          <w:rFonts w:ascii="Arial" w:hAnsi="Arial" w:cs="Arial"/>
          <w:color w:val="0E101A"/>
        </w:rPr>
        <w:t xml:space="preserve"> </w:t>
      </w:r>
      <w:r w:rsidRPr="0061169B">
        <w:rPr>
          <w:rFonts w:ascii="Arial" w:hAnsi="Arial" w:cs="Arial"/>
          <w:color w:val="0E101A"/>
          <w:lang w:val="en-US"/>
        </w:rPr>
        <w:t>prescriptive</w:t>
      </w:r>
      <w:r w:rsidRPr="0061169B">
        <w:rPr>
          <w:rFonts w:ascii="Arial" w:hAnsi="Arial" w:cs="Arial"/>
          <w:color w:val="0E101A"/>
        </w:rPr>
        <w:t xml:space="preserve"> definition of HUMN will not be based on scientific evidence. </w:t>
      </w:r>
    </w:p>
    <w:p w14:paraId="4F2A5B61" w14:textId="77777777" w:rsidR="0061169B" w:rsidRPr="0061169B" w:rsidRDefault="0061169B" w:rsidP="0061169B">
      <w:pPr>
        <w:pStyle w:val="NormalWeb"/>
        <w:spacing w:before="0" w:beforeAutospacing="0" w:after="0" w:afterAutospacing="0"/>
        <w:jc w:val="both"/>
        <w:rPr>
          <w:rFonts w:ascii="Arial" w:hAnsi="Arial" w:cs="Arial"/>
          <w:color w:val="0E101A"/>
        </w:rPr>
      </w:pPr>
    </w:p>
    <w:p w14:paraId="27008ACE" w14:textId="7116202B" w:rsidR="0061169B" w:rsidRPr="0061169B" w:rsidRDefault="0061169B" w:rsidP="0061169B">
      <w:pPr>
        <w:pStyle w:val="NormalWeb"/>
        <w:spacing w:before="0" w:beforeAutospacing="0" w:after="0" w:afterAutospacing="0"/>
        <w:jc w:val="both"/>
        <w:rPr>
          <w:rFonts w:ascii="Arial" w:hAnsi="Arial" w:cs="Arial"/>
          <w:color w:val="0E101A"/>
          <w:lang w:val="en-US"/>
        </w:rPr>
      </w:pPr>
      <w:r w:rsidRPr="0061169B">
        <w:rPr>
          <w:rFonts w:ascii="Arial" w:hAnsi="Arial" w:cs="Arial"/>
          <w:color w:val="0E101A"/>
          <w:lang w:val="en-US"/>
        </w:rPr>
        <w:t xml:space="preserve">There is </w:t>
      </w:r>
      <w:r w:rsidRPr="0061169B">
        <w:rPr>
          <w:rFonts w:ascii="Arial" w:hAnsi="Arial" w:cs="Arial"/>
          <w:b/>
          <w:bCs/>
          <w:color w:val="0E101A"/>
          <w:lang w:val="en-US"/>
        </w:rPr>
        <w:t>no appropriate unifying definition of (H)UMN.</w:t>
      </w:r>
      <w:r w:rsidRPr="0061169B">
        <w:rPr>
          <w:rFonts w:ascii="Arial" w:hAnsi="Arial" w:cs="Arial"/>
          <w:b/>
          <w:bCs/>
          <w:color w:val="0E101A"/>
        </w:rPr>
        <w:t xml:space="preserve"> </w:t>
      </w:r>
      <w:r w:rsidRPr="0061169B">
        <w:rPr>
          <w:rFonts w:ascii="Arial" w:hAnsi="Arial" w:cs="Arial"/>
          <w:b/>
          <w:bCs/>
          <w:color w:val="0E101A"/>
          <w:lang w:val="en-US"/>
        </w:rPr>
        <w:t>An</w:t>
      </w:r>
      <w:r w:rsidRPr="0061169B">
        <w:rPr>
          <w:rFonts w:ascii="Arial" w:hAnsi="Arial" w:cs="Arial"/>
          <w:b/>
          <w:bCs/>
          <w:color w:val="0E101A"/>
        </w:rPr>
        <w:t xml:space="preserve"> understanding of UMN is based on various factors</w:t>
      </w:r>
      <w:r w:rsidRPr="0061169B">
        <w:rPr>
          <w:rFonts w:ascii="Arial" w:hAnsi="Arial" w:cs="Arial"/>
          <w:color w:val="0E101A"/>
        </w:rPr>
        <w:t xml:space="preserve"> such as contexts, stakeholders’ perspectives (</w:t>
      </w:r>
      <w:proofErr w:type="gramStart"/>
      <w:r w:rsidRPr="0061169B">
        <w:rPr>
          <w:rFonts w:ascii="Arial" w:hAnsi="Arial" w:cs="Arial"/>
          <w:color w:val="0E101A"/>
        </w:rPr>
        <w:t>e.g.</w:t>
      </w:r>
      <w:proofErr w:type="gramEnd"/>
      <w:r w:rsidRPr="0061169B">
        <w:rPr>
          <w:rFonts w:ascii="Arial" w:hAnsi="Arial" w:cs="Arial"/>
          <w:color w:val="0E101A"/>
        </w:rPr>
        <w:t xml:space="preserve"> patients, developers, clinicians, regulators, HTA, payers), the objective of the assessments and </w:t>
      </w:r>
      <w:r w:rsidR="00270FBA">
        <w:rPr>
          <w:rFonts w:ascii="Arial" w:hAnsi="Arial" w:cs="Arial"/>
          <w:color w:val="0E101A"/>
        </w:rPr>
        <w:t xml:space="preserve">to </w:t>
      </w:r>
      <w:r w:rsidRPr="0061169B">
        <w:rPr>
          <w:rFonts w:ascii="Arial" w:hAnsi="Arial" w:cs="Arial"/>
          <w:color w:val="0E101A"/>
        </w:rPr>
        <w:t>whose needs one refers. Several Member States have already outlined their concept of UMN at the national level to inform their health technology assessment (HTA) and pricing and reimbursement (P&amp;R) decisions</w:t>
      </w:r>
      <w:r w:rsidRPr="0061169B">
        <w:rPr>
          <w:rFonts w:ascii="Arial" w:hAnsi="Arial" w:cs="Arial"/>
          <w:color w:val="0E101A"/>
          <w:lang w:val="en-US"/>
        </w:rPr>
        <w:t>. Another definition of UMN can lead to a therapy being assessed for UMN on three occasions, with different criteria</w:t>
      </w:r>
      <w:r w:rsidRPr="0061169B">
        <w:rPr>
          <w:rFonts w:ascii="Arial" w:hAnsi="Arial" w:cs="Arial"/>
          <w:color w:val="0E101A"/>
        </w:rPr>
        <w:t>.</w:t>
      </w:r>
      <w:r w:rsidRPr="0061169B">
        <w:rPr>
          <w:rFonts w:ascii="Arial" w:hAnsi="Arial" w:cs="Arial"/>
          <w:color w:val="0E101A"/>
          <w:lang w:val="en-US"/>
        </w:rPr>
        <w:t xml:space="preserve"> </w:t>
      </w:r>
      <w:r w:rsidRPr="0061169B">
        <w:rPr>
          <w:rFonts w:ascii="Arial" w:hAnsi="Arial" w:cs="Arial"/>
          <w:color w:val="0E101A"/>
        </w:rPr>
        <w:t xml:space="preserve"> </w:t>
      </w:r>
    </w:p>
    <w:p w14:paraId="5AD9D042" w14:textId="77777777" w:rsidR="0061169B" w:rsidRPr="0061169B" w:rsidRDefault="0061169B" w:rsidP="0061169B">
      <w:pPr>
        <w:pStyle w:val="NormalWeb"/>
        <w:spacing w:before="0" w:beforeAutospacing="0" w:after="0" w:afterAutospacing="0"/>
        <w:jc w:val="both"/>
        <w:rPr>
          <w:rFonts w:ascii="Arial" w:hAnsi="Arial" w:cs="Arial"/>
          <w:color w:val="0E101A"/>
          <w:lang w:val="en-US"/>
        </w:rPr>
      </w:pPr>
    </w:p>
    <w:p w14:paraId="7117627E" w14:textId="77777777" w:rsidR="0061169B" w:rsidRPr="0061169B" w:rsidRDefault="0061169B" w:rsidP="0061169B">
      <w:pPr>
        <w:pStyle w:val="NormalWeb"/>
        <w:spacing w:before="0" w:beforeAutospacing="0" w:after="0" w:afterAutospacing="0"/>
        <w:jc w:val="both"/>
        <w:rPr>
          <w:rFonts w:ascii="Arial" w:hAnsi="Arial" w:cs="Arial"/>
          <w:color w:val="0E101A"/>
          <w:lang w:val="en-US"/>
        </w:rPr>
      </w:pPr>
      <w:r w:rsidRPr="0061169B">
        <w:rPr>
          <w:rFonts w:ascii="Arial" w:hAnsi="Arial" w:cs="Arial"/>
          <w:color w:val="0E101A"/>
          <w:lang w:val="en-US"/>
        </w:rPr>
        <w:t xml:space="preserve">Important </w:t>
      </w:r>
      <w:r w:rsidRPr="0061169B">
        <w:rPr>
          <w:rFonts w:ascii="Arial" w:hAnsi="Arial" w:cs="Arial"/>
          <w:b/>
          <w:bCs/>
          <w:color w:val="0E101A"/>
          <w:lang w:val="en-US"/>
        </w:rPr>
        <w:t>UMNs can still exist among patient groups where there is therapeutic option</w:t>
      </w:r>
      <w:r w:rsidRPr="0061169B">
        <w:rPr>
          <w:rFonts w:ascii="Arial" w:hAnsi="Arial" w:cs="Arial"/>
          <w:color w:val="0E101A"/>
          <w:lang w:val="en-US"/>
        </w:rPr>
        <w:t>. N</w:t>
      </w:r>
      <w:proofErr w:type="spellStart"/>
      <w:r w:rsidRPr="0061169B">
        <w:rPr>
          <w:rFonts w:ascii="Arial" w:hAnsi="Arial" w:cs="Arial"/>
          <w:color w:val="0E101A"/>
        </w:rPr>
        <w:t>ot</w:t>
      </w:r>
      <w:proofErr w:type="spellEnd"/>
      <w:r w:rsidRPr="0061169B">
        <w:rPr>
          <w:rFonts w:ascii="Arial" w:hAnsi="Arial" w:cs="Arial"/>
          <w:color w:val="0E101A"/>
        </w:rPr>
        <w:t xml:space="preserve"> all the patients are the same, </w:t>
      </w:r>
      <w:r w:rsidRPr="0061169B">
        <w:rPr>
          <w:rFonts w:ascii="Arial" w:hAnsi="Arial" w:cs="Arial"/>
          <w:color w:val="0E101A"/>
          <w:lang w:val="en-US"/>
        </w:rPr>
        <w:t xml:space="preserve">both </w:t>
      </w:r>
      <w:r w:rsidRPr="0061169B">
        <w:rPr>
          <w:rFonts w:ascii="Arial" w:hAnsi="Arial" w:cs="Arial"/>
          <w:color w:val="0E101A"/>
        </w:rPr>
        <w:t xml:space="preserve">across disease areas, but also within the same disease; some might not respond to or benefit from existing therapies, while others may still benefit from further innovation that offers </w:t>
      </w:r>
      <w:r w:rsidRPr="0061169B">
        <w:rPr>
          <w:rFonts w:ascii="Arial" w:hAnsi="Arial" w:cs="Arial"/>
          <w:color w:val="0E101A"/>
        </w:rPr>
        <w:lastRenderedPageBreak/>
        <w:t>better or more appropriate treatments. Therefore, the absence of a treatment</w:t>
      </w:r>
      <w:r w:rsidRPr="0061169B">
        <w:rPr>
          <w:rFonts w:ascii="Arial" w:hAnsi="Arial" w:cs="Arial"/>
          <w:color w:val="0E101A"/>
          <w:lang w:val="en-US"/>
        </w:rPr>
        <w:t xml:space="preserve"> or </w:t>
      </w:r>
      <w:r w:rsidRPr="0061169B">
        <w:rPr>
          <w:rFonts w:ascii="Arial" w:hAnsi="Arial" w:cs="Arial"/>
          <w:color w:val="0E101A"/>
        </w:rPr>
        <w:t xml:space="preserve">therapy is not the only unmet need to consider. </w:t>
      </w:r>
      <w:r w:rsidRPr="0061169B">
        <w:rPr>
          <w:rFonts w:ascii="Arial" w:hAnsi="Arial" w:cs="Arial"/>
          <w:color w:val="0E101A"/>
          <w:lang w:val="en-US"/>
        </w:rPr>
        <w:t xml:space="preserve">The </w:t>
      </w:r>
      <w:r w:rsidRPr="0061169B">
        <w:rPr>
          <w:rFonts w:ascii="Arial" w:hAnsi="Arial" w:cs="Arial"/>
          <w:color w:val="0E101A"/>
        </w:rPr>
        <w:t>quality of life of patients and their families and caregivers, the burden of</w:t>
      </w:r>
      <w:r w:rsidRPr="0061169B">
        <w:rPr>
          <w:rFonts w:ascii="Arial" w:hAnsi="Arial" w:cs="Arial"/>
          <w:color w:val="0E101A"/>
          <w:lang w:val="en-US"/>
        </w:rPr>
        <w:t xml:space="preserve"> treatment and</w:t>
      </w:r>
      <w:r w:rsidRPr="0061169B">
        <w:rPr>
          <w:rFonts w:ascii="Arial" w:hAnsi="Arial" w:cs="Arial"/>
          <w:color w:val="0E101A"/>
        </w:rPr>
        <w:t xml:space="preserve"> the disease</w:t>
      </w:r>
      <w:r w:rsidRPr="0061169B">
        <w:rPr>
          <w:rFonts w:ascii="Arial" w:hAnsi="Arial" w:cs="Arial"/>
          <w:color w:val="0E101A"/>
          <w:lang w:val="en-US"/>
        </w:rPr>
        <w:t xml:space="preserve"> </w:t>
      </w:r>
      <w:r w:rsidRPr="0061169B">
        <w:rPr>
          <w:rFonts w:ascii="Arial" w:hAnsi="Arial" w:cs="Arial"/>
          <w:color w:val="0E101A"/>
        </w:rPr>
        <w:t xml:space="preserve">and its severity </w:t>
      </w:r>
      <w:r w:rsidRPr="0061169B">
        <w:rPr>
          <w:rFonts w:ascii="Arial" w:hAnsi="Arial" w:cs="Arial"/>
          <w:color w:val="0E101A"/>
          <w:lang w:val="en-US"/>
        </w:rPr>
        <w:t xml:space="preserve">should </w:t>
      </w:r>
      <w:r w:rsidRPr="0061169B">
        <w:rPr>
          <w:rFonts w:ascii="Arial" w:hAnsi="Arial" w:cs="Arial"/>
          <w:color w:val="0E101A"/>
        </w:rPr>
        <w:t>also be considered</w:t>
      </w:r>
      <w:r w:rsidRPr="0061169B">
        <w:rPr>
          <w:rFonts w:ascii="Arial" w:hAnsi="Arial" w:cs="Arial"/>
          <w:color w:val="0E101A"/>
          <w:lang w:val="en-US"/>
        </w:rPr>
        <w:t xml:space="preserve"> in discussions of</w:t>
      </w:r>
      <w:r w:rsidRPr="0061169B">
        <w:rPr>
          <w:rFonts w:ascii="Arial" w:hAnsi="Arial" w:cs="Arial"/>
          <w:color w:val="0E101A"/>
        </w:rPr>
        <w:t xml:space="preserve"> </w:t>
      </w:r>
      <w:r w:rsidRPr="0061169B">
        <w:rPr>
          <w:rFonts w:ascii="Arial" w:hAnsi="Arial" w:cs="Arial"/>
          <w:color w:val="0E101A"/>
          <w:lang w:val="en-US"/>
        </w:rPr>
        <w:t>(</w:t>
      </w:r>
      <w:r w:rsidRPr="0061169B">
        <w:rPr>
          <w:rFonts w:ascii="Arial" w:hAnsi="Arial" w:cs="Arial"/>
          <w:color w:val="0E101A"/>
        </w:rPr>
        <w:t>high</w:t>
      </w:r>
      <w:r w:rsidRPr="0061169B">
        <w:rPr>
          <w:rFonts w:ascii="Arial" w:hAnsi="Arial" w:cs="Arial"/>
          <w:color w:val="0E101A"/>
          <w:lang w:val="en-US"/>
        </w:rPr>
        <w:t>)</w:t>
      </w:r>
      <w:r w:rsidRPr="0061169B">
        <w:rPr>
          <w:rFonts w:ascii="Arial" w:hAnsi="Arial" w:cs="Arial"/>
          <w:color w:val="0E101A"/>
        </w:rPr>
        <w:t xml:space="preserve"> unmet</w:t>
      </w:r>
      <w:r w:rsidRPr="0061169B">
        <w:rPr>
          <w:rFonts w:ascii="Arial" w:hAnsi="Arial" w:cs="Arial"/>
          <w:color w:val="0E101A"/>
          <w:lang w:val="en-US"/>
        </w:rPr>
        <w:t xml:space="preserve"> medical</w:t>
      </w:r>
      <w:r w:rsidRPr="0061169B">
        <w:rPr>
          <w:rFonts w:ascii="Arial" w:hAnsi="Arial" w:cs="Arial"/>
          <w:color w:val="0E101A"/>
        </w:rPr>
        <w:t xml:space="preserve"> needs. </w:t>
      </w:r>
      <w:r w:rsidRPr="0061169B">
        <w:rPr>
          <w:rFonts w:ascii="Arial" w:hAnsi="Arial" w:cs="Arial"/>
          <w:b/>
          <w:bCs/>
          <w:color w:val="0E101A"/>
          <w:lang w:val="en-US"/>
        </w:rPr>
        <w:t>T</w:t>
      </w:r>
      <w:r w:rsidRPr="0061169B">
        <w:rPr>
          <w:rStyle w:val="Strong"/>
          <w:rFonts w:ascii="Arial" w:hAnsi="Arial" w:cs="Arial"/>
          <w:color w:val="0E101A"/>
        </w:rPr>
        <w:t>he concept of UMN is not singular or fixed</w:t>
      </w:r>
      <w:r w:rsidRPr="0061169B">
        <w:rPr>
          <w:rFonts w:ascii="Arial" w:hAnsi="Arial" w:cs="Arial"/>
          <w:color w:val="0E101A"/>
        </w:rPr>
        <w:t>, but it evolves over time and changes as the disease progresses and scientifical progress is made</w:t>
      </w:r>
      <w:r w:rsidRPr="0061169B">
        <w:rPr>
          <w:rFonts w:ascii="Arial" w:hAnsi="Arial" w:cs="Arial"/>
          <w:color w:val="0E101A"/>
          <w:lang w:val="en-US"/>
        </w:rPr>
        <w:t>.</w:t>
      </w:r>
    </w:p>
    <w:p w14:paraId="292A78E8" w14:textId="77777777" w:rsidR="0061169B" w:rsidRPr="0061169B" w:rsidRDefault="0061169B" w:rsidP="0061169B">
      <w:pPr>
        <w:pStyle w:val="NormalWeb"/>
        <w:spacing w:before="0" w:beforeAutospacing="0" w:after="0" w:afterAutospacing="0"/>
        <w:jc w:val="both"/>
        <w:rPr>
          <w:rFonts w:ascii="Arial" w:hAnsi="Arial" w:cs="Arial"/>
          <w:color w:val="0E101A"/>
        </w:rPr>
      </w:pPr>
    </w:p>
    <w:p w14:paraId="5D6D1CF1" w14:textId="160C1096" w:rsidR="0061169B" w:rsidRPr="0061169B" w:rsidRDefault="0061169B" w:rsidP="0061169B">
      <w:pPr>
        <w:pStyle w:val="NormalWeb"/>
        <w:spacing w:before="0" w:beforeAutospacing="0" w:after="0" w:afterAutospacing="0"/>
        <w:jc w:val="both"/>
        <w:rPr>
          <w:rFonts w:ascii="Arial" w:hAnsi="Arial" w:cs="Arial"/>
          <w:color w:val="0E101A"/>
        </w:rPr>
      </w:pPr>
      <w:r w:rsidRPr="0061169B">
        <w:rPr>
          <w:rFonts w:ascii="Arial" w:hAnsi="Arial" w:cs="Arial"/>
          <w:color w:val="0E101A"/>
          <w:lang w:val="en-US"/>
        </w:rPr>
        <w:t>I</w:t>
      </w:r>
      <w:r w:rsidRPr="0061169B">
        <w:rPr>
          <w:rFonts w:ascii="Arial" w:hAnsi="Arial" w:cs="Arial"/>
          <w:color w:val="0E101A"/>
        </w:rPr>
        <w:t>t is fundamental to recognise the </w:t>
      </w:r>
      <w:r w:rsidRPr="0061169B">
        <w:rPr>
          <w:rStyle w:val="Strong"/>
          <w:rFonts w:ascii="Arial" w:hAnsi="Arial" w:cs="Arial"/>
          <w:color w:val="0E101A"/>
        </w:rPr>
        <w:t xml:space="preserve">value of </w:t>
      </w:r>
      <w:r w:rsidRPr="0061169B">
        <w:rPr>
          <w:rStyle w:val="Strong"/>
          <w:rFonts w:ascii="Arial" w:hAnsi="Arial" w:cs="Arial"/>
          <w:color w:val="0E101A"/>
          <w:lang w:val="en-US"/>
        </w:rPr>
        <w:t>iterative</w:t>
      </w:r>
      <w:r w:rsidRPr="0061169B">
        <w:rPr>
          <w:rStyle w:val="Strong"/>
          <w:rFonts w:ascii="Arial" w:hAnsi="Arial" w:cs="Arial"/>
          <w:color w:val="0E101A"/>
        </w:rPr>
        <w:t xml:space="preserve"> innovation</w:t>
      </w:r>
      <w:r w:rsidRPr="0061169B">
        <w:rPr>
          <w:rFonts w:ascii="Arial" w:hAnsi="Arial" w:cs="Arial"/>
          <w:color w:val="0E101A"/>
        </w:rPr>
        <w:t> which can</w:t>
      </w:r>
      <w:r w:rsidRPr="0061169B">
        <w:rPr>
          <w:rFonts w:ascii="Arial" w:hAnsi="Arial" w:cs="Arial"/>
          <w:color w:val="0E101A"/>
          <w:lang w:val="en-US"/>
        </w:rPr>
        <w:t xml:space="preserve"> lead to significant improvements </w:t>
      </w:r>
      <w:r w:rsidRPr="0061169B">
        <w:rPr>
          <w:rFonts w:ascii="Arial" w:hAnsi="Arial" w:cs="Arial"/>
          <w:color w:val="0E101A"/>
        </w:rPr>
        <w:t>for patients. Therefore, EUCOPE warns about including concepts such as ‘cure’ in the definition of UMN. The </w:t>
      </w:r>
      <w:r w:rsidRPr="0061169B">
        <w:rPr>
          <w:rStyle w:val="Strong"/>
          <w:rFonts w:ascii="Arial" w:hAnsi="Arial" w:cs="Arial"/>
          <w:color w:val="0E101A"/>
        </w:rPr>
        <w:t>concept of ‘curative’</w:t>
      </w:r>
      <w:r w:rsidRPr="0061169B">
        <w:rPr>
          <w:rFonts w:ascii="Arial" w:hAnsi="Arial" w:cs="Arial"/>
          <w:color w:val="0E101A"/>
        </w:rPr>
        <w:t xml:space="preserve"> is hard to </w:t>
      </w:r>
      <w:r w:rsidR="00270FBA" w:rsidRPr="0061169B">
        <w:rPr>
          <w:rFonts w:ascii="Arial" w:hAnsi="Arial" w:cs="Arial"/>
          <w:color w:val="0E101A"/>
        </w:rPr>
        <w:t>quantify</w:t>
      </w:r>
      <w:r w:rsidRPr="0061169B">
        <w:rPr>
          <w:rFonts w:ascii="Arial" w:hAnsi="Arial" w:cs="Arial"/>
          <w:color w:val="0E101A"/>
        </w:rPr>
        <w:t xml:space="preserve"> </w:t>
      </w:r>
      <w:r w:rsidRPr="0061169B">
        <w:rPr>
          <w:rFonts w:ascii="Arial" w:hAnsi="Arial" w:cs="Arial"/>
          <w:color w:val="0E101A"/>
          <w:lang w:val="en-US"/>
        </w:rPr>
        <w:t>and</w:t>
      </w:r>
      <w:r w:rsidRPr="0061169B">
        <w:rPr>
          <w:rFonts w:ascii="Arial" w:hAnsi="Arial" w:cs="Arial"/>
          <w:color w:val="0E101A"/>
        </w:rPr>
        <w:t xml:space="preserve"> assess at the time of marketing authorisation</w:t>
      </w:r>
      <w:r w:rsidRPr="0061169B">
        <w:rPr>
          <w:rFonts w:ascii="Arial" w:hAnsi="Arial" w:cs="Arial"/>
          <w:color w:val="0E101A"/>
          <w:lang w:val="en-US"/>
        </w:rPr>
        <w:t>. Linking the concept to an incentive can</w:t>
      </w:r>
      <w:r w:rsidRPr="0061169B">
        <w:rPr>
          <w:rFonts w:ascii="Arial" w:hAnsi="Arial" w:cs="Arial"/>
          <w:color w:val="0E101A"/>
        </w:rPr>
        <w:t xml:space="preserve"> undermine </w:t>
      </w:r>
      <w:r w:rsidRPr="0061169B">
        <w:rPr>
          <w:rFonts w:ascii="Arial" w:hAnsi="Arial" w:cs="Arial"/>
          <w:color w:val="0E101A"/>
          <w:lang w:val="en-US"/>
        </w:rPr>
        <w:t>scientific progress</w:t>
      </w:r>
      <w:r w:rsidRPr="0061169B">
        <w:rPr>
          <w:rFonts w:ascii="Arial" w:hAnsi="Arial" w:cs="Arial"/>
          <w:color w:val="0E101A"/>
        </w:rPr>
        <w:t xml:space="preserve"> and innovation. Little to no therapies for chronic conditions are currently curative. Improvements in symptomatic treatments can drastically change and improve individual patients' lives. </w:t>
      </w:r>
      <w:r w:rsidRPr="0061169B">
        <w:rPr>
          <w:rFonts w:ascii="Arial" w:hAnsi="Arial" w:cs="Arial"/>
          <w:color w:val="0E101A"/>
          <w:lang w:val="en-US"/>
        </w:rPr>
        <w:t>T</w:t>
      </w:r>
      <w:r w:rsidRPr="0061169B">
        <w:rPr>
          <w:rFonts w:ascii="Arial" w:hAnsi="Arial" w:cs="Arial"/>
          <w:color w:val="0E101A"/>
        </w:rPr>
        <w:t>he rise of novel advanced therapies is a sign of change in the healthcare landscape: patients are transitioning from continuous chronic treatment to, in many cases, a one-time treatment with long-term transformative effects.</w:t>
      </w:r>
    </w:p>
    <w:p w14:paraId="3DFC4063" w14:textId="4C5689E0" w:rsidR="0061169B" w:rsidRPr="0061169B" w:rsidRDefault="0061169B" w:rsidP="0061169B">
      <w:pPr>
        <w:pStyle w:val="NormalWeb"/>
        <w:jc w:val="both"/>
        <w:rPr>
          <w:rFonts w:ascii="Arial" w:hAnsi="Arial" w:cs="Arial"/>
        </w:rPr>
      </w:pPr>
      <w:r w:rsidRPr="0061169B">
        <w:rPr>
          <w:rFonts w:ascii="Arial" w:hAnsi="Arial" w:cs="Arial"/>
          <w:color w:val="0E101A"/>
          <w:lang w:val="en-US"/>
        </w:rPr>
        <w:t xml:space="preserve">A </w:t>
      </w:r>
      <w:r w:rsidRPr="0061169B">
        <w:rPr>
          <w:rFonts w:ascii="Arial" w:hAnsi="Arial" w:cs="Arial"/>
          <w:b/>
          <w:bCs/>
          <w:color w:val="0E101A"/>
          <w:lang w:val="en-US"/>
        </w:rPr>
        <w:t xml:space="preserve">definition of HUMN could lead to a de facto ranking </w:t>
      </w:r>
      <w:proofErr w:type="gramStart"/>
      <w:r w:rsidRPr="0061169B">
        <w:rPr>
          <w:rFonts w:ascii="Arial" w:hAnsi="Arial" w:cs="Arial"/>
          <w:b/>
          <w:bCs/>
          <w:color w:val="0E101A"/>
          <w:lang w:val="en-US"/>
        </w:rPr>
        <w:t>of  rare</w:t>
      </w:r>
      <w:proofErr w:type="gramEnd"/>
      <w:r w:rsidRPr="0061169B">
        <w:rPr>
          <w:rFonts w:ascii="Arial" w:hAnsi="Arial" w:cs="Arial"/>
          <w:b/>
          <w:bCs/>
          <w:color w:val="0E101A"/>
          <w:lang w:val="en-US"/>
        </w:rPr>
        <w:t xml:space="preserve"> diseases</w:t>
      </w:r>
      <w:r w:rsidRPr="0061169B">
        <w:rPr>
          <w:rFonts w:ascii="Arial" w:hAnsi="Arial" w:cs="Arial"/>
          <w:color w:val="0E101A"/>
          <w:lang w:val="en-US"/>
        </w:rPr>
        <w:t xml:space="preserve">, which would be arbitrary and detrimental. </w:t>
      </w:r>
      <w:r w:rsidRPr="0061169B">
        <w:rPr>
          <w:rFonts w:ascii="Arial" w:hAnsi="Arial" w:cs="Arial"/>
          <w:color w:val="0E101A"/>
        </w:rPr>
        <w:t>To date, despite great achievements, treatments available on the market count for only 5% of the estimated 8,000 rare diseases.</w:t>
      </w:r>
      <w:r w:rsidRPr="0061169B">
        <w:rPr>
          <w:rFonts w:ascii="Arial" w:hAnsi="Arial" w:cs="Arial"/>
          <w:color w:val="0E101A"/>
          <w:lang w:val="en-US"/>
        </w:rPr>
        <w:t xml:space="preserve"> To drive innovation </w:t>
      </w:r>
      <w:r w:rsidR="00B735D7">
        <w:rPr>
          <w:rFonts w:ascii="Arial" w:hAnsi="Arial" w:cs="Arial"/>
          <w:color w:val="0E101A"/>
          <w:lang w:val="en-US"/>
        </w:rPr>
        <w:t>for</w:t>
      </w:r>
      <w:r w:rsidRPr="0061169B">
        <w:rPr>
          <w:rFonts w:ascii="Arial" w:hAnsi="Arial" w:cs="Arial"/>
          <w:color w:val="0E101A"/>
          <w:lang w:val="en-US"/>
        </w:rPr>
        <w:t xml:space="preserve"> the remaining 95%, incentives should look through the lens of investment to </w:t>
      </w:r>
      <w:r w:rsidRPr="0061169B">
        <w:rPr>
          <w:rFonts w:ascii="Arial" w:hAnsi="Arial" w:cs="Arial"/>
          <w:b/>
          <w:bCs/>
        </w:rPr>
        <w:t>help identify where we need to look for different solutions beyond the legal framework</w:t>
      </w:r>
      <w:r w:rsidR="00B735D7">
        <w:rPr>
          <w:rFonts w:ascii="Arial" w:hAnsi="Arial" w:cs="Arial"/>
          <w:b/>
          <w:bCs/>
        </w:rPr>
        <w:t>.</w:t>
      </w:r>
      <w:r w:rsidRPr="0061169B">
        <w:rPr>
          <w:rFonts w:ascii="Arial" w:hAnsi="Arial" w:cs="Arial"/>
        </w:rPr>
        <w:t xml:space="preserve">, </w:t>
      </w:r>
      <w:r w:rsidR="00B735D7">
        <w:rPr>
          <w:rFonts w:ascii="Arial" w:hAnsi="Arial" w:cs="Arial"/>
        </w:rPr>
        <w:t>M</w:t>
      </w:r>
      <w:r w:rsidRPr="0061169B">
        <w:rPr>
          <w:rFonts w:ascii="Arial" w:hAnsi="Arial" w:cs="Arial"/>
        </w:rPr>
        <w:t>ostly</w:t>
      </w:r>
      <w:r w:rsidR="00B735D7">
        <w:rPr>
          <w:rFonts w:ascii="Arial" w:hAnsi="Arial" w:cs="Arial"/>
        </w:rPr>
        <w:t>,</w:t>
      </w:r>
      <w:r w:rsidRPr="0061169B">
        <w:rPr>
          <w:rFonts w:ascii="Arial" w:hAnsi="Arial" w:cs="Arial"/>
        </w:rPr>
        <w:t xml:space="preserve"> this is </w:t>
      </w:r>
      <w:proofErr w:type="gramStart"/>
      <w:r w:rsidRPr="0061169B">
        <w:rPr>
          <w:rFonts w:ascii="Arial" w:hAnsi="Arial" w:cs="Arial"/>
        </w:rPr>
        <w:t>in the area of</w:t>
      </w:r>
      <w:proofErr w:type="gramEnd"/>
      <w:r w:rsidRPr="0061169B">
        <w:rPr>
          <w:rFonts w:ascii="Arial" w:hAnsi="Arial" w:cs="Arial"/>
        </w:rPr>
        <w:t xml:space="preserve"> basic and translational research where support is lacking. </w:t>
      </w:r>
      <w:r w:rsidR="00B735D7">
        <w:rPr>
          <w:rFonts w:ascii="Arial" w:hAnsi="Arial" w:cs="Arial"/>
        </w:rPr>
        <w:t>T</w:t>
      </w:r>
      <w:r w:rsidRPr="0061169B">
        <w:rPr>
          <w:rFonts w:ascii="Arial" w:hAnsi="Arial" w:cs="Arial"/>
        </w:rPr>
        <w:t>he absence of basic and translational research happens to describe the bulk of the 95% of diseases without an authorised treatment</w:t>
      </w:r>
      <w:r w:rsidRPr="0061169B">
        <w:rPr>
          <w:rFonts w:ascii="Arial" w:hAnsi="Arial" w:cs="Arial"/>
          <w:lang w:val="en-US"/>
        </w:rPr>
        <w:t>.</w:t>
      </w:r>
    </w:p>
    <w:p w14:paraId="113EF2F4" w14:textId="77777777" w:rsidR="0061169B" w:rsidRPr="0061169B" w:rsidRDefault="0061169B" w:rsidP="0061169B">
      <w:pPr>
        <w:jc w:val="both"/>
        <w:rPr>
          <w:rFonts w:ascii="Arial" w:hAnsi="Arial" w:cs="Arial"/>
          <w:lang w:val="en-US"/>
        </w:rPr>
      </w:pPr>
      <w:r w:rsidRPr="0061169B">
        <w:rPr>
          <w:rFonts w:ascii="Arial" w:hAnsi="Arial" w:cs="Arial"/>
          <w:lang w:val="en-US"/>
        </w:rPr>
        <w:t xml:space="preserve">EUCOPE supports the Commission’s ambition to promote the development of therapies in areas of (H)UMN. </w:t>
      </w:r>
      <w:r w:rsidRPr="0061169B">
        <w:rPr>
          <w:rFonts w:ascii="Arial" w:hAnsi="Arial" w:cs="Arial"/>
          <w:b/>
          <w:bCs/>
          <w:lang w:val="en-US"/>
        </w:rPr>
        <w:t>To achieve this goal in the context of the revision of the General Pharmaceutical Legislation and Orphan Medicinal Products Regulation, EUCOPE recommends</w:t>
      </w:r>
      <w:r w:rsidRPr="0061169B">
        <w:rPr>
          <w:rFonts w:ascii="Arial" w:hAnsi="Arial" w:cs="Arial"/>
          <w:lang w:val="en-US"/>
        </w:rPr>
        <w:t>:</w:t>
      </w:r>
    </w:p>
    <w:p w14:paraId="36FB3E14" w14:textId="6A466701" w:rsidR="0061169B" w:rsidRPr="0061169B" w:rsidRDefault="006755CA" w:rsidP="0061169B">
      <w:pPr>
        <w:numPr>
          <w:ilvl w:val="0"/>
          <w:numId w:val="15"/>
        </w:numPr>
        <w:spacing w:before="0" w:after="80" w:line="259" w:lineRule="auto"/>
        <w:ind w:left="709" w:hanging="357"/>
        <w:jc w:val="both"/>
        <w:rPr>
          <w:rFonts w:ascii="Arial" w:hAnsi="Arial" w:cs="Arial"/>
        </w:rPr>
      </w:pPr>
      <w:r w:rsidRPr="00B21DE6">
        <w:rPr>
          <w:b/>
          <w:bCs/>
          <w:lang w:val="en-US"/>
        </w:rPr>
        <w:t>Establish a multi-stakeholder dialogue</w:t>
      </w:r>
      <w:r>
        <w:rPr>
          <w:lang w:val="en-US"/>
        </w:rPr>
        <w:t xml:space="preserve"> building on existing EMA and HTA dialogue structures</w:t>
      </w:r>
      <w:r w:rsidRPr="00A2139D">
        <w:rPr>
          <w:lang w:val="en-US"/>
        </w:rPr>
        <w:t xml:space="preserve"> along the </w:t>
      </w:r>
      <w:r>
        <w:rPr>
          <w:lang w:val="en-US"/>
        </w:rPr>
        <w:t>drug</w:t>
      </w:r>
      <w:r w:rsidRPr="00A2139D">
        <w:rPr>
          <w:lang w:val="en-US"/>
        </w:rPr>
        <w:t xml:space="preserve"> development path</w:t>
      </w:r>
      <w:r w:rsidR="00B735D7">
        <w:rPr>
          <w:lang w:val="en-US"/>
        </w:rPr>
        <w:t xml:space="preserve">. It should </w:t>
      </w:r>
      <w:proofErr w:type="gramStart"/>
      <w:r w:rsidR="00B735D7">
        <w:rPr>
          <w:lang w:val="en-US"/>
        </w:rPr>
        <w:t xml:space="preserve">include </w:t>
      </w:r>
      <w:r w:rsidRPr="00A2139D">
        <w:rPr>
          <w:lang w:val="en-US"/>
        </w:rPr>
        <w:t xml:space="preserve"> patient</w:t>
      </w:r>
      <w:proofErr w:type="gramEnd"/>
      <w:r w:rsidRPr="00A2139D">
        <w:rPr>
          <w:lang w:val="en-US"/>
        </w:rPr>
        <w:t xml:space="preserve"> representatives, developers, clinicians, regulators, HTA experts and payers,</w:t>
      </w:r>
      <w:r>
        <w:rPr>
          <w:lang w:val="en-US"/>
        </w:rPr>
        <w:t xml:space="preserve"> that</w:t>
      </w:r>
      <w:r w:rsidRPr="00A2139D">
        <w:rPr>
          <w:lang w:val="en-US"/>
        </w:rPr>
        <w:t xml:space="preserve"> can continuously refine and update existing assumptions on unmet needs</w:t>
      </w:r>
      <w:r w:rsidR="0061169B" w:rsidRPr="0061169B">
        <w:rPr>
          <w:rFonts w:ascii="Arial" w:hAnsi="Arial" w:cs="Arial"/>
          <w:lang w:val="en-US"/>
        </w:rPr>
        <w:t>;</w:t>
      </w:r>
    </w:p>
    <w:p w14:paraId="5F894B06" w14:textId="3D511B0F" w:rsidR="0061169B" w:rsidRPr="0061169B" w:rsidRDefault="00F67868" w:rsidP="0061169B">
      <w:pPr>
        <w:pStyle w:val="ListParagraph"/>
        <w:numPr>
          <w:ilvl w:val="0"/>
          <w:numId w:val="15"/>
        </w:numPr>
        <w:spacing w:after="80"/>
        <w:ind w:left="709" w:hanging="357"/>
        <w:rPr>
          <w:rFonts w:ascii="Arial" w:hAnsi="Arial" w:cs="Arial"/>
        </w:rPr>
      </w:pPr>
      <w:r>
        <w:rPr>
          <w:lang w:val="en-US"/>
        </w:rPr>
        <w:t xml:space="preserve">The necessary guidance to assess (H)UMN already exists in various EU legislative and non-legislative documents. Therefore, </w:t>
      </w:r>
      <w:r w:rsidRPr="00B735D7">
        <w:rPr>
          <w:lang w:val="en-US"/>
        </w:rPr>
        <w:t>we should</w:t>
      </w:r>
      <w:r w:rsidRPr="00B21DE6">
        <w:rPr>
          <w:b/>
          <w:bCs/>
          <w:lang w:val="en-US"/>
        </w:rPr>
        <w:t xml:space="preserve"> maintain</w:t>
      </w:r>
      <w:r w:rsidRPr="00B21DE6">
        <w:rPr>
          <w:b/>
          <w:bCs/>
          <w:noProof/>
          <w:lang w:val="en-US"/>
        </w:rPr>
        <w:t xml:space="preserve"> a</w:t>
      </w:r>
      <w:r w:rsidRPr="00B21DE6">
        <w:rPr>
          <w:b/>
          <w:bCs/>
        </w:rPr>
        <w:t xml:space="preserve"> b</w:t>
      </w:r>
      <w:r w:rsidRPr="00B21DE6">
        <w:rPr>
          <w:b/>
          <w:bCs/>
          <w:lang w:val="en-US"/>
        </w:rPr>
        <w:t>road understanding of UMN at EU level</w:t>
      </w:r>
      <w:r>
        <w:rPr>
          <w:lang w:val="en-US"/>
        </w:rPr>
        <w:t xml:space="preserve"> by </w:t>
      </w:r>
      <w:r w:rsidRPr="00E766EC">
        <w:rPr>
          <w:lang w:val="en-US"/>
        </w:rPr>
        <w:t>not</w:t>
      </w:r>
      <w:r>
        <w:rPr>
          <w:lang w:val="en-US"/>
        </w:rPr>
        <w:t xml:space="preserve"> further </w:t>
      </w:r>
      <w:r w:rsidRPr="00E766EC">
        <w:rPr>
          <w:lang w:val="en-US"/>
        </w:rPr>
        <w:t>codif</w:t>
      </w:r>
      <w:r>
        <w:rPr>
          <w:lang w:val="en-US"/>
        </w:rPr>
        <w:t xml:space="preserve">ying the concept in the General Pharmaceutical, </w:t>
      </w:r>
      <w:r w:rsidRPr="00E766EC">
        <w:rPr>
          <w:lang w:val="en-US"/>
        </w:rPr>
        <w:t>OMP</w:t>
      </w:r>
      <w:r>
        <w:rPr>
          <w:lang w:val="en-US"/>
        </w:rPr>
        <w:t xml:space="preserve"> and</w:t>
      </w:r>
      <w:r w:rsidRPr="00E766EC">
        <w:rPr>
          <w:lang w:val="en-US"/>
        </w:rPr>
        <w:t xml:space="preserve"> Pedi</w:t>
      </w:r>
      <w:r>
        <w:rPr>
          <w:lang w:val="en-US"/>
        </w:rPr>
        <w:t xml:space="preserve">atric legislation, to encourage continued research for all patient populations who can benefit from therapeutic </w:t>
      </w:r>
      <w:proofErr w:type="gramStart"/>
      <w:r>
        <w:rPr>
          <w:lang w:val="en-US"/>
        </w:rPr>
        <w:t>innovation</w:t>
      </w:r>
      <w:r w:rsidR="0061169B" w:rsidRPr="0061169B">
        <w:rPr>
          <w:rFonts w:ascii="Arial" w:hAnsi="Arial" w:cs="Arial"/>
          <w:lang w:val="en-US"/>
        </w:rPr>
        <w:t>;</w:t>
      </w:r>
      <w:proofErr w:type="gramEnd"/>
    </w:p>
    <w:p w14:paraId="31100324" w14:textId="77777777" w:rsidR="0061169B" w:rsidRPr="0061169B" w:rsidRDefault="0061169B" w:rsidP="0061169B">
      <w:pPr>
        <w:numPr>
          <w:ilvl w:val="0"/>
          <w:numId w:val="15"/>
        </w:numPr>
        <w:spacing w:before="0" w:after="80" w:line="259" w:lineRule="auto"/>
        <w:ind w:left="709" w:hanging="357"/>
        <w:jc w:val="both"/>
        <w:rPr>
          <w:rFonts w:ascii="Arial" w:hAnsi="Arial" w:cs="Arial"/>
          <w:lang w:val="en-US"/>
        </w:rPr>
      </w:pPr>
      <w:r w:rsidRPr="00B21DE6">
        <w:rPr>
          <w:rFonts w:ascii="Arial" w:hAnsi="Arial" w:cs="Arial"/>
          <w:b/>
          <w:bCs/>
          <w:lang w:val="en-US"/>
        </w:rPr>
        <w:t>Avoid including the concept of ‘cure’ in any definition or criteria for (H)UMN</w:t>
      </w:r>
      <w:r w:rsidRPr="0061169B">
        <w:rPr>
          <w:rFonts w:ascii="Arial" w:hAnsi="Arial" w:cs="Arial"/>
          <w:lang w:val="en-US"/>
        </w:rPr>
        <w:t xml:space="preserve"> as this cannot be fully assessed at the time of marketing authorization and consider disease modifying criteria </w:t>
      </w:r>
      <w:proofErr w:type="gramStart"/>
      <w:r w:rsidRPr="0061169B">
        <w:rPr>
          <w:rFonts w:ascii="Arial" w:hAnsi="Arial" w:cs="Arial"/>
          <w:lang w:val="en-US"/>
        </w:rPr>
        <w:t>instead;</w:t>
      </w:r>
      <w:proofErr w:type="gramEnd"/>
    </w:p>
    <w:p w14:paraId="1EE5F343" w14:textId="3F49F44F" w:rsidR="0061169B" w:rsidRDefault="0061169B" w:rsidP="0061169B">
      <w:pPr>
        <w:numPr>
          <w:ilvl w:val="0"/>
          <w:numId w:val="15"/>
        </w:numPr>
        <w:spacing w:before="0" w:after="80" w:line="259" w:lineRule="auto"/>
        <w:ind w:left="709" w:hanging="357"/>
        <w:jc w:val="both"/>
        <w:rPr>
          <w:rFonts w:ascii="Arial" w:hAnsi="Arial" w:cs="Arial"/>
          <w:lang w:val="en-US"/>
        </w:rPr>
      </w:pPr>
      <w:r w:rsidRPr="00B21DE6">
        <w:rPr>
          <w:rFonts w:ascii="Arial" w:hAnsi="Arial" w:cs="Arial"/>
          <w:b/>
          <w:bCs/>
          <w:lang w:val="en-US"/>
        </w:rPr>
        <w:t>Launch an EU-wide rare disease</w:t>
      </w:r>
      <w:r w:rsidRPr="0061169B">
        <w:rPr>
          <w:rFonts w:ascii="Arial" w:hAnsi="Arial" w:cs="Arial"/>
          <w:lang w:val="en-US"/>
        </w:rPr>
        <w:t xml:space="preserve"> strategy to support access to and</w:t>
      </w:r>
      <w:r w:rsidR="00B735D7">
        <w:rPr>
          <w:rFonts w:ascii="Arial" w:hAnsi="Arial" w:cs="Arial"/>
          <w:lang w:val="en-US"/>
        </w:rPr>
        <w:t xml:space="preserve"> the</w:t>
      </w:r>
      <w:r w:rsidRPr="0061169B">
        <w:rPr>
          <w:rFonts w:ascii="Arial" w:hAnsi="Arial" w:cs="Arial"/>
          <w:lang w:val="en-US"/>
        </w:rPr>
        <w:t xml:space="preserve"> development of novel therapies, especially in the 95% of rare diseases where no therapeutic options </w:t>
      </w:r>
      <w:proofErr w:type="gramStart"/>
      <w:r w:rsidRPr="0061169B">
        <w:rPr>
          <w:rFonts w:ascii="Arial" w:hAnsi="Arial" w:cs="Arial"/>
          <w:lang w:val="en-US"/>
        </w:rPr>
        <w:t>exist;</w:t>
      </w:r>
      <w:proofErr w:type="gramEnd"/>
    </w:p>
    <w:p w14:paraId="4063F256" w14:textId="6BA866C0" w:rsidR="0053663E" w:rsidRPr="0061169B" w:rsidRDefault="0061169B" w:rsidP="0061169B">
      <w:pPr>
        <w:numPr>
          <w:ilvl w:val="0"/>
          <w:numId w:val="15"/>
        </w:numPr>
        <w:spacing w:before="0" w:after="80" w:line="259" w:lineRule="auto"/>
        <w:ind w:left="709" w:hanging="357"/>
        <w:jc w:val="both"/>
        <w:rPr>
          <w:rFonts w:ascii="Arial" w:hAnsi="Arial" w:cs="Arial"/>
          <w:lang w:val="en-US"/>
        </w:rPr>
      </w:pPr>
      <w:r w:rsidRPr="00B21DE6">
        <w:rPr>
          <w:rFonts w:ascii="Arial" w:hAnsi="Arial" w:cs="Arial"/>
          <w:b/>
          <w:bCs/>
          <w:lang w:val="en-US"/>
        </w:rPr>
        <w:lastRenderedPageBreak/>
        <w:t>Modulat</w:t>
      </w:r>
      <w:r w:rsidR="00B735D7" w:rsidRPr="00B21DE6">
        <w:rPr>
          <w:rFonts w:ascii="Arial" w:hAnsi="Arial" w:cs="Arial"/>
          <w:b/>
          <w:bCs/>
          <w:lang w:val="en-US"/>
        </w:rPr>
        <w:t>e</w:t>
      </w:r>
      <w:r w:rsidRPr="00B21DE6">
        <w:rPr>
          <w:rFonts w:ascii="Arial" w:hAnsi="Arial" w:cs="Arial"/>
          <w:b/>
          <w:bCs/>
          <w:lang w:val="en-US"/>
        </w:rPr>
        <w:t xml:space="preserve"> Orphan incentives through the lenses of the investment case</w:t>
      </w:r>
      <w:r w:rsidRPr="0061169B">
        <w:rPr>
          <w:rFonts w:ascii="Arial" w:hAnsi="Arial" w:cs="Arial"/>
          <w:lang w:val="en-US"/>
        </w:rPr>
        <w:t xml:space="preserve"> rather than through a ranking of unmet needs. This, along with policy initiatives that go beyond the OMP regulation, such as public private partnerships, can help addressing </w:t>
      </w:r>
      <w:proofErr w:type="gramStart"/>
      <w:r w:rsidRPr="0061169B">
        <w:rPr>
          <w:rFonts w:ascii="Arial" w:hAnsi="Arial" w:cs="Arial"/>
          <w:lang w:val="en-US"/>
        </w:rPr>
        <w:t>in particular the</w:t>
      </w:r>
      <w:proofErr w:type="gramEnd"/>
      <w:r w:rsidRPr="0061169B">
        <w:rPr>
          <w:rFonts w:ascii="Arial" w:hAnsi="Arial" w:cs="Arial"/>
          <w:lang w:val="en-US"/>
        </w:rPr>
        <w:t xml:space="preserve"> 95% of rare diseases without an approved treatment.</w:t>
      </w:r>
      <w:r w:rsidR="0053663E">
        <w:br w:type="page"/>
      </w:r>
    </w:p>
    <w:p w14:paraId="0363F8EA" w14:textId="6FA7F251" w:rsidR="00A51FD3" w:rsidRPr="00FF0702" w:rsidRDefault="00F73522" w:rsidP="00084A0D">
      <w:pPr>
        <w:pStyle w:val="Heading1"/>
      </w:pPr>
      <w:r>
        <w:lastRenderedPageBreak/>
        <w:t>1</w:t>
      </w:r>
      <w:r w:rsidR="00DE3BE1">
        <w:t xml:space="preserve">. </w:t>
      </w:r>
      <w:r w:rsidR="008326E9">
        <w:t>What is at stake</w:t>
      </w:r>
    </w:p>
    <w:p w14:paraId="1A3F21D6" w14:textId="0AD954CF" w:rsidR="00242D86" w:rsidRDefault="00752B0D" w:rsidP="00C24AD8">
      <w:pPr>
        <w:jc w:val="both"/>
        <w:rPr>
          <w:rFonts w:ascii="Arial" w:hAnsi="Arial" w:cs="Arial"/>
        </w:rPr>
      </w:pPr>
      <w:r>
        <w:rPr>
          <w:rFonts w:ascii="Arial" w:hAnsi="Arial" w:cs="Arial"/>
        </w:rPr>
        <w:t>The European Union</w:t>
      </w:r>
      <w:r w:rsidR="00252EDF">
        <w:rPr>
          <w:rFonts w:ascii="Arial" w:hAnsi="Arial" w:cs="Arial"/>
        </w:rPr>
        <w:t xml:space="preserve"> (EU)</w:t>
      </w:r>
      <w:r>
        <w:rPr>
          <w:rFonts w:ascii="Arial" w:hAnsi="Arial" w:cs="Arial"/>
        </w:rPr>
        <w:t xml:space="preserve"> is undergoing its most significant review of the pharmaceutical</w:t>
      </w:r>
      <w:r w:rsidR="008E44FC">
        <w:rPr>
          <w:rFonts w:ascii="Arial" w:hAnsi="Arial" w:cs="Arial"/>
        </w:rPr>
        <w:t xml:space="preserve"> legislative</w:t>
      </w:r>
      <w:r>
        <w:rPr>
          <w:rFonts w:ascii="Arial" w:hAnsi="Arial" w:cs="Arial"/>
        </w:rPr>
        <w:t xml:space="preserve"> </w:t>
      </w:r>
      <w:r w:rsidR="00D8639D">
        <w:rPr>
          <w:rFonts w:ascii="Arial" w:hAnsi="Arial" w:cs="Arial"/>
        </w:rPr>
        <w:t xml:space="preserve">framework </w:t>
      </w:r>
      <w:r>
        <w:rPr>
          <w:rFonts w:ascii="Arial" w:hAnsi="Arial" w:cs="Arial"/>
        </w:rPr>
        <w:t xml:space="preserve">in two decades. </w:t>
      </w:r>
      <w:r w:rsidR="004B7B32">
        <w:rPr>
          <w:rFonts w:ascii="Arial" w:hAnsi="Arial" w:cs="Arial"/>
        </w:rPr>
        <w:t>A concept at the heart of th</w:t>
      </w:r>
      <w:r w:rsidR="00DC6C22">
        <w:rPr>
          <w:rFonts w:ascii="Arial" w:hAnsi="Arial" w:cs="Arial"/>
        </w:rPr>
        <w:t>e</w:t>
      </w:r>
      <w:r w:rsidR="004B7B32">
        <w:rPr>
          <w:rFonts w:ascii="Arial" w:hAnsi="Arial" w:cs="Arial"/>
        </w:rPr>
        <w:t>s</w:t>
      </w:r>
      <w:r w:rsidR="00DC6C22">
        <w:rPr>
          <w:rFonts w:ascii="Arial" w:hAnsi="Arial" w:cs="Arial"/>
        </w:rPr>
        <w:t>e</w:t>
      </w:r>
      <w:r w:rsidR="004B7B32">
        <w:rPr>
          <w:rFonts w:ascii="Arial" w:hAnsi="Arial" w:cs="Arial"/>
        </w:rPr>
        <w:t xml:space="preserve"> discussion</w:t>
      </w:r>
      <w:r w:rsidR="00DC6C22">
        <w:rPr>
          <w:rFonts w:ascii="Arial" w:hAnsi="Arial" w:cs="Arial"/>
        </w:rPr>
        <w:t>s</w:t>
      </w:r>
      <w:r w:rsidR="004B7B32">
        <w:rPr>
          <w:rFonts w:ascii="Arial" w:hAnsi="Arial" w:cs="Arial"/>
        </w:rPr>
        <w:t xml:space="preserve"> is </w:t>
      </w:r>
      <w:r w:rsidR="004B7B32" w:rsidRPr="003D52FA">
        <w:rPr>
          <w:rFonts w:ascii="Arial" w:hAnsi="Arial" w:cs="Arial"/>
          <w:b/>
          <w:bCs/>
        </w:rPr>
        <w:t>unmet medical need</w:t>
      </w:r>
      <w:r w:rsidR="003661B7">
        <w:rPr>
          <w:rFonts w:ascii="Arial" w:hAnsi="Arial" w:cs="Arial"/>
          <w:b/>
          <w:bCs/>
        </w:rPr>
        <w:t xml:space="preserve"> (UMN)</w:t>
      </w:r>
      <w:r w:rsidR="00DC6C22">
        <w:rPr>
          <w:rFonts w:ascii="Arial" w:hAnsi="Arial" w:cs="Arial"/>
        </w:rPr>
        <w:t xml:space="preserve">, which is </w:t>
      </w:r>
      <w:r w:rsidR="001737A1">
        <w:rPr>
          <w:rFonts w:ascii="Arial" w:hAnsi="Arial" w:cs="Arial"/>
        </w:rPr>
        <w:t xml:space="preserve">relevant to </w:t>
      </w:r>
      <w:r w:rsidR="00695667">
        <w:rPr>
          <w:rFonts w:ascii="Arial" w:hAnsi="Arial" w:cs="Arial"/>
        </w:rPr>
        <w:t>several</w:t>
      </w:r>
      <w:r w:rsidR="001737A1">
        <w:rPr>
          <w:rFonts w:ascii="Arial" w:hAnsi="Arial" w:cs="Arial"/>
        </w:rPr>
        <w:t xml:space="preserve"> reviews</w:t>
      </w:r>
      <w:r w:rsidR="00B44969">
        <w:rPr>
          <w:rFonts w:ascii="Arial" w:hAnsi="Arial" w:cs="Arial"/>
        </w:rPr>
        <w:t>:</w:t>
      </w:r>
      <w:r w:rsidR="001737A1">
        <w:rPr>
          <w:rFonts w:ascii="Arial" w:hAnsi="Arial" w:cs="Arial"/>
        </w:rPr>
        <w:t xml:space="preserve"> the General </w:t>
      </w:r>
      <w:r w:rsidR="00A4689A">
        <w:rPr>
          <w:rFonts w:ascii="Arial" w:hAnsi="Arial" w:cs="Arial"/>
        </w:rPr>
        <w:t>Pharmaceutical</w:t>
      </w:r>
      <w:r w:rsidR="001737A1">
        <w:rPr>
          <w:rFonts w:ascii="Arial" w:hAnsi="Arial" w:cs="Arial"/>
        </w:rPr>
        <w:t xml:space="preserve"> Legislation</w:t>
      </w:r>
      <w:r w:rsidR="00A4689A">
        <w:rPr>
          <w:rFonts w:ascii="Arial" w:hAnsi="Arial" w:cs="Arial"/>
        </w:rPr>
        <w:t xml:space="preserve"> (Regulation No 726/2004 and Directive 2001/83/EC)</w:t>
      </w:r>
      <w:r w:rsidR="001737A1">
        <w:rPr>
          <w:rFonts w:ascii="Arial" w:hAnsi="Arial" w:cs="Arial"/>
        </w:rPr>
        <w:t xml:space="preserve">, </w:t>
      </w:r>
      <w:r w:rsidR="002C7F7E">
        <w:rPr>
          <w:rFonts w:ascii="Arial" w:hAnsi="Arial" w:cs="Arial"/>
        </w:rPr>
        <w:t xml:space="preserve">the </w:t>
      </w:r>
      <w:r w:rsidR="001737A1">
        <w:rPr>
          <w:rFonts w:ascii="Arial" w:hAnsi="Arial" w:cs="Arial"/>
        </w:rPr>
        <w:t>Orphan Medicinal Products Regulation</w:t>
      </w:r>
      <w:r w:rsidR="00A4689A">
        <w:rPr>
          <w:rFonts w:ascii="Arial" w:hAnsi="Arial" w:cs="Arial"/>
        </w:rPr>
        <w:t xml:space="preserve"> (Regulation No 141/2001)</w:t>
      </w:r>
      <w:r w:rsidR="001737A1">
        <w:rPr>
          <w:rFonts w:ascii="Arial" w:hAnsi="Arial" w:cs="Arial"/>
        </w:rPr>
        <w:t xml:space="preserve">, </w:t>
      </w:r>
      <w:r w:rsidR="00D8639D">
        <w:rPr>
          <w:rFonts w:ascii="Arial" w:hAnsi="Arial" w:cs="Arial"/>
        </w:rPr>
        <w:t xml:space="preserve">and the </w:t>
      </w:r>
      <w:r w:rsidR="001737A1">
        <w:rPr>
          <w:rFonts w:ascii="Arial" w:hAnsi="Arial" w:cs="Arial"/>
        </w:rPr>
        <w:t>Paediatric Products Regulation</w:t>
      </w:r>
      <w:r w:rsidR="00132C14">
        <w:rPr>
          <w:rFonts w:ascii="Arial" w:hAnsi="Arial" w:cs="Arial"/>
        </w:rPr>
        <w:t xml:space="preserve"> </w:t>
      </w:r>
      <w:r w:rsidR="00176D4B">
        <w:rPr>
          <w:rFonts w:ascii="Arial" w:hAnsi="Arial" w:cs="Arial"/>
        </w:rPr>
        <w:t xml:space="preserve">(Regulation </w:t>
      </w:r>
      <w:r w:rsidR="00176D4B" w:rsidRPr="00176D4B">
        <w:rPr>
          <w:rFonts w:ascii="Arial" w:hAnsi="Arial" w:cs="Arial"/>
        </w:rPr>
        <w:t>No 1901/2006</w:t>
      </w:r>
      <w:r w:rsidR="00176D4B">
        <w:rPr>
          <w:rFonts w:ascii="Arial" w:hAnsi="Arial" w:cs="Arial"/>
        </w:rPr>
        <w:t>)</w:t>
      </w:r>
      <w:r w:rsidR="001737A1">
        <w:rPr>
          <w:rFonts w:ascii="Arial" w:hAnsi="Arial" w:cs="Arial"/>
        </w:rPr>
        <w:t>.</w:t>
      </w:r>
      <w:r w:rsidR="00E74078">
        <w:rPr>
          <w:rFonts w:ascii="Arial" w:hAnsi="Arial" w:cs="Arial"/>
        </w:rPr>
        <w:t xml:space="preserve"> </w:t>
      </w:r>
      <w:r w:rsidR="001D28DE">
        <w:rPr>
          <w:rFonts w:ascii="Arial" w:hAnsi="Arial" w:cs="Arial"/>
        </w:rPr>
        <w:t xml:space="preserve">EUCOPE understands that </w:t>
      </w:r>
      <w:r w:rsidR="00385BD3">
        <w:rPr>
          <w:rFonts w:ascii="Arial" w:hAnsi="Arial" w:cs="Arial"/>
        </w:rPr>
        <w:t>the</w:t>
      </w:r>
      <w:r w:rsidR="002D4E57">
        <w:rPr>
          <w:rFonts w:ascii="Arial" w:hAnsi="Arial" w:cs="Arial"/>
        </w:rPr>
        <w:t xml:space="preserve"> </w:t>
      </w:r>
      <w:r w:rsidR="002D4E57" w:rsidRPr="00527CA7">
        <w:rPr>
          <w:rFonts w:ascii="Arial" w:hAnsi="Arial" w:cs="Arial"/>
          <w:b/>
          <w:bCs/>
        </w:rPr>
        <w:t>European</w:t>
      </w:r>
      <w:r w:rsidR="00385BD3" w:rsidRPr="00527CA7">
        <w:rPr>
          <w:rFonts w:ascii="Arial" w:hAnsi="Arial" w:cs="Arial"/>
          <w:b/>
          <w:bCs/>
        </w:rPr>
        <w:t xml:space="preserve"> Commission</w:t>
      </w:r>
      <w:r w:rsidR="006A35A6">
        <w:rPr>
          <w:rFonts w:ascii="Arial" w:hAnsi="Arial" w:cs="Arial"/>
          <w:b/>
          <w:bCs/>
        </w:rPr>
        <w:t xml:space="preserve"> is considering</w:t>
      </w:r>
      <w:r w:rsidR="001D28DE" w:rsidRPr="00527CA7">
        <w:rPr>
          <w:rFonts w:ascii="Arial" w:hAnsi="Arial" w:cs="Arial"/>
          <w:b/>
          <w:bCs/>
        </w:rPr>
        <w:t xml:space="preserve"> </w:t>
      </w:r>
      <w:r w:rsidR="002D4E57" w:rsidRPr="00527CA7">
        <w:rPr>
          <w:rFonts w:ascii="Arial" w:hAnsi="Arial" w:cs="Arial"/>
          <w:b/>
          <w:bCs/>
        </w:rPr>
        <w:t>a</w:t>
      </w:r>
      <w:r w:rsidR="00956C43" w:rsidRPr="00527CA7">
        <w:rPr>
          <w:rFonts w:ascii="Arial" w:hAnsi="Arial" w:cs="Arial"/>
          <w:b/>
          <w:bCs/>
        </w:rPr>
        <w:t>dopt</w:t>
      </w:r>
      <w:r w:rsidR="006A35A6">
        <w:rPr>
          <w:rFonts w:ascii="Arial" w:hAnsi="Arial" w:cs="Arial"/>
          <w:b/>
          <w:bCs/>
        </w:rPr>
        <w:t>ing</w:t>
      </w:r>
      <w:r w:rsidR="00956C43" w:rsidRPr="00527CA7">
        <w:rPr>
          <w:rFonts w:ascii="Arial" w:hAnsi="Arial" w:cs="Arial"/>
          <w:b/>
          <w:bCs/>
        </w:rPr>
        <w:t xml:space="preserve"> a restrictive and criteria-based </w:t>
      </w:r>
      <w:r w:rsidR="002D4E57" w:rsidRPr="00527CA7">
        <w:rPr>
          <w:rFonts w:ascii="Arial" w:hAnsi="Arial" w:cs="Arial"/>
          <w:b/>
          <w:bCs/>
        </w:rPr>
        <w:t>definition</w:t>
      </w:r>
      <w:r w:rsidR="00956C43" w:rsidRPr="00527CA7">
        <w:rPr>
          <w:rFonts w:ascii="Arial" w:hAnsi="Arial" w:cs="Arial"/>
          <w:b/>
          <w:bCs/>
        </w:rPr>
        <w:t xml:space="preserve"> of UMN </w:t>
      </w:r>
      <w:r w:rsidR="002D4E57" w:rsidRPr="00527CA7">
        <w:rPr>
          <w:rFonts w:ascii="Arial" w:hAnsi="Arial" w:cs="Arial"/>
          <w:b/>
          <w:bCs/>
        </w:rPr>
        <w:t>and highest unmet medical need (HUMN)</w:t>
      </w:r>
      <w:r w:rsidR="00527CA7">
        <w:rPr>
          <w:rFonts w:ascii="Arial" w:hAnsi="Arial" w:cs="Arial"/>
        </w:rPr>
        <w:t>. This</w:t>
      </w:r>
      <w:r w:rsidR="002B598A">
        <w:rPr>
          <w:rFonts w:ascii="Arial" w:hAnsi="Arial" w:cs="Arial"/>
        </w:rPr>
        <w:t xml:space="preserve"> </w:t>
      </w:r>
      <w:r w:rsidR="00335E35">
        <w:rPr>
          <w:rFonts w:ascii="Arial" w:hAnsi="Arial" w:cs="Arial"/>
          <w:b/>
          <w:bCs/>
        </w:rPr>
        <w:t>would</w:t>
      </w:r>
      <w:r w:rsidR="00335E35" w:rsidRPr="00527CA7">
        <w:rPr>
          <w:rFonts w:ascii="Arial" w:hAnsi="Arial" w:cs="Arial"/>
          <w:b/>
          <w:bCs/>
        </w:rPr>
        <w:t xml:space="preserve"> </w:t>
      </w:r>
      <w:r w:rsidR="00FF2DFB" w:rsidRPr="00527CA7">
        <w:rPr>
          <w:rFonts w:ascii="Arial" w:hAnsi="Arial" w:cs="Arial"/>
          <w:b/>
          <w:bCs/>
        </w:rPr>
        <w:t>have</w:t>
      </w:r>
      <w:r w:rsidR="002B598A" w:rsidRPr="00527CA7">
        <w:rPr>
          <w:rFonts w:ascii="Arial" w:hAnsi="Arial" w:cs="Arial"/>
          <w:b/>
          <w:bCs/>
        </w:rPr>
        <w:t xml:space="preserve"> long-term</w:t>
      </w:r>
      <w:r w:rsidR="002C7F7E" w:rsidRPr="00527CA7">
        <w:rPr>
          <w:rFonts w:ascii="Arial" w:hAnsi="Arial" w:cs="Arial"/>
          <w:b/>
          <w:bCs/>
        </w:rPr>
        <w:t xml:space="preserve"> and</w:t>
      </w:r>
      <w:r w:rsidR="00FF2DFB" w:rsidRPr="00527CA7">
        <w:rPr>
          <w:rFonts w:ascii="Arial" w:hAnsi="Arial" w:cs="Arial"/>
          <w:b/>
          <w:bCs/>
        </w:rPr>
        <w:t xml:space="preserve"> </w:t>
      </w:r>
      <w:r w:rsidR="0091412D" w:rsidRPr="00527CA7">
        <w:rPr>
          <w:rFonts w:ascii="Arial" w:hAnsi="Arial" w:cs="Arial"/>
          <w:b/>
          <w:bCs/>
        </w:rPr>
        <w:t xml:space="preserve">significant </w:t>
      </w:r>
      <w:r w:rsidR="00C12291" w:rsidRPr="00527CA7">
        <w:rPr>
          <w:rFonts w:ascii="Arial" w:hAnsi="Arial" w:cs="Arial"/>
          <w:b/>
          <w:bCs/>
        </w:rPr>
        <w:t>implications</w:t>
      </w:r>
      <w:r w:rsidR="0091412D">
        <w:rPr>
          <w:rFonts w:ascii="Arial" w:hAnsi="Arial" w:cs="Arial"/>
        </w:rPr>
        <w:t xml:space="preserve"> for the healthcare ecosystem and its stakeholders, in particular patients and the biopharmaceutical industry</w:t>
      </w:r>
      <w:r w:rsidR="00B41679">
        <w:rPr>
          <w:rFonts w:ascii="Arial" w:hAnsi="Arial" w:cs="Arial"/>
        </w:rPr>
        <w:t xml:space="preserve"> in both the orphan and non-orphan context</w:t>
      </w:r>
      <w:r w:rsidR="0091412D">
        <w:rPr>
          <w:rFonts w:ascii="Arial" w:hAnsi="Arial" w:cs="Arial"/>
        </w:rPr>
        <w:t>.</w:t>
      </w:r>
      <w:r w:rsidR="00EB184E">
        <w:rPr>
          <w:rFonts w:ascii="Arial" w:hAnsi="Arial" w:cs="Arial"/>
        </w:rPr>
        <w:t xml:space="preserve"> </w:t>
      </w:r>
    </w:p>
    <w:p w14:paraId="5D7FD71D" w14:textId="6F18C350" w:rsidR="001F5649" w:rsidRDefault="00E94A2B" w:rsidP="00C24AD8">
      <w:pPr>
        <w:jc w:val="both"/>
        <w:rPr>
          <w:rFonts w:ascii="Arial" w:hAnsi="Arial" w:cs="Arial"/>
          <w:lang w:val="en-US"/>
        </w:rPr>
      </w:pPr>
      <w:r w:rsidRPr="00E94A2B">
        <w:rPr>
          <w:rFonts w:ascii="Arial" w:hAnsi="Arial" w:cs="Arial"/>
          <w:lang w:val="en-US"/>
        </w:rPr>
        <w:t>As a concept, UMN has</w:t>
      </w:r>
      <w:r>
        <w:rPr>
          <w:rFonts w:ascii="Arial" w:hAnsi="Arial" w:cs="Arial"/>
          <w:lang w:val="en-US"/>
        </w:rPr>
        <w:t xml:space="preserve"> been widely discussed for </w:t>
      </w:r>
      <w:r w:rsidR="00502224">
        <w:rPr>
          <w:rFonts w:ascii="Arial" w:hAnsi="Arial" w:cs="Arial"/>
          <w:lang w:val="en-US"/>
        </w:rPr>
        <w:t xml:space="preserve">many </w:t>
      </w:r>
      <w:r>
        <w:rPr>
          <w:rFonts w:ascii="Arial" w:hAnsi="Arial" w:cs="Arial"/>
          <w:lang w:val="en-US"/>
        </w:rPr>
        <w:t>years</w:t>
      </w:r>
      <w:r w:rsidR="008F21A9">
        <w:rPr>
          <w:rFonts w:ascii="Arial" w:hAnsi="Arial" w:cs="Arial"/>
          <w:lang w:val="en-US"/>
        </w:rPr>
        <w:t xml:space="preserve">, across all disease areas and </w:t>
      </w:r>
      <w:r w:rsidR="009F0C03">
        <w:rPr>
          <w:rFonts w:ascii="Arial" w:hAnsi="Arial" w:cs="Arial"/>
          <w:lang w:val="en-US"/>
        </w:rPr>
        <w:t xml:space="preserve">in </w:t>
      </w:r>
      <w:r w:rsidR="008F21A9">
        <w:rPr>
          <w:rFonts w:ascii="Arial" w:hAnsi="Arial" w:cs="Arial"/>
          <w:lang w:val="en-US"/>
        </w:rPr>
        <w:t>different medical context</w:t>
      </w:r>
      <w:r w:rsidR="009F0C03">
        <w:rPr>
          <w:rFonts w:ascii="Arial" w:hAnsi="Arial" w:cs="Arial"/>
          <w:lang w:val="en-US"/>
        </w:rPr>
        <w:t>s</w:t>
      </w:r>
      <w:r w:rsidR="008F21A9">
        <w:rPr>
          <w:rFonts w:ascii="Arial" w:hAnsi="Arial" w:cs="Arial"/>
          <w:lang w:val="en-US"/>
        </w:rPr>
        <w:t xml:space="preserve">. </w:t>
      </w:r>
      <w:r w:rsidR="008E44FC">
        <w:rPr>
          <w:rFonts w:ascii="Arial" w:hAnsi="Arial" w:cs="Arial"/>
          <w:lang w:val="en-US"/>
        </w:rPr>
        <w:t>A</w:t>
      </w:r>
      <w:r w:rsidR="003C07A3">
        <w:rPr>
          <w:rFonts w:ascii="Arial" w:hAnsi="Arial" w:cs="Arial"/>
          <w:lang w:val="en-US"/>
        </w:rPr>
        <w:t xml:space="preserve">s this paper will </w:t>
      </w:r>
      <w:r w:rsidR="008F21A9">
        <w:rPr>
          <w:rFonts w:ascii="Arial" w:hAnsi="Arial" w:cs="Arial"/>
          <w:lang w:val="en-US"/>
        </w:rPr>
        <w:t>demonstrate</w:t>
      </w:r>
      <w:r w:rsidR="00CE48D2">
        <w:rPr>
          <w:rFonts w:ascii="Arial" w:hAnsi="Arial" w:cs="Arial"/>
          <w:lang w:val="en-US"/>
        </w:rPr>
        <w:t>,</w:t>
      </w:r>
      <w:r w:rsidR="00404853">
        <w:rPr>
          <w:rFonts w:ascii="Arial" w:hAnsi="Arial" w:cs="Arial"/>
          <w:lang w:val="en-US"/>
        </w:rPr>
        <w:t xml:space="preserve"> </w:t>
      </w:r>
      <w:r w:rsidR="00FE5C20">
        <w:rPr>
          <w:rFonts w:ascii="Arial" w:hAnsi="Arial" w:cs="Arial"/>
          <w:lang w:val="en-US"/>
        </w:rPr>
        <w:t>d</w:t>
      </w:r>
      <w:r w:rsidR="003C07A3">
        <w:rPr>
          <w:rFonts w:ascii="Arial" w:hAnsi="Arial" w:cs="Arial"/>
          <w:lang w:val="en-US"/>
        </w:rPr>
        <w:t>ifferent understandings of the concept</w:t>
      </w:r>
      <w:r w:rsidR="00676C01">
        <w:rPr>
          <w:rFonts w:ascii="Arial" w:hAnsi="Arial" w:cs="Arial"/>
          <w:lang w:val="en-US"/>
        </w:rPr>
        <w:t xml:space="preserve"> need to</w:t>
      </w:r>
      <w:r w:rsidR="003C07A3">
        <w:rPr>
          <w:rFonts w:ascii="Arial" w:hAnsi="Arial" w:cs="Arial"/>
          <w:lang w:val="en-US"/>
        </w:rPr>
        <w:t xml:space="preserve"> exist</w:t>
      </w:r>
      <w:r w:rsidR="00676C01">
        <w:rPr>
          <w:rFonts w:ascii="Arial" w:hAnsi="Arial" w:cs="Arial"/>
          <w:lang w:val="en-US"/>
        </w:rPr>
        <w:t xml:space="preserve"> since they serve different </w:t>
      </w:r>
      <w:proofErr w:type="gramStart"/>
      <w:r w:rsidR="00676C01">
        <w:rPr>
          <w:rFonts w:ascii="Arial" w:hAnsi="Arial" w:cs="Arial"/>
          <w:lang w:val="en-US"/>
        </w:rPr>
        <w:t>purposes</w:t>
      </w:r>
      <w:r w:rsidR="003C07A3">
        <w:rPr>
          <w:rFonts w:ascii="Arial" w:hAnsi="Arial" w:cs="Arial"/>
          <w:lang w:val="en-US"/>
        </w:rPr>
        <w:t>, and</w:t>
      </w:r>
      <w:proofErr w:type="gramEnd"/>
      <w:r w:rsidR="003C07A3">
        <w:rPr>
          <w:rFonts w:ascii="Arial" w:hAnsi="Arial" w:cs="Arial"/>
          <w:lang w:val="en-US"/>
        </w:rPr>
        <w:t xml:space="preserve"> are used different</w:t>
      </w:r>
      <w:r w:rsidR="007627F1">
        <w:rPr>
          <w:rFonts w:ascii="Arial" w:hAnsi="Arial" w:cs="Arial"/>
          <w:lang w:val="en-US"/>
        </w:rPr>
        <w:t>ly</w:t>
      </w:r>
      <w:r w:rsidR="003C07A3">
        <w:rPr>
          <w:rFonts w:ascii="Arial" w:hAnsi="Arial" w:cs="Arial"/>
          <w:lang w:val="en-US"/>
        </w:rPr>
        <w:t xml:space="preserve"> by various stakeholders</w:t>
      </w:r>
      <w:r w:rsidR="007C7988">
        <w:rPr>
          <w:rFonts w:ascii="Arial" w:hAnsi="Arial" w:cs="Arial"/>
          <w:lang w:val="en-US"/>
        </w:rPr>
        <w:t xml:space="preserve"> and reflect the current science and knowledge level</w:t>
      </w:r>
      <w:r w:rsidR="00A017BD">
        <w:rPr>
          <w:rFonts w:ascii="Arial" w:hAnsi="Arial" w:cs="Arial"/>
          <w:lang w:val="en-US"/>
        </w:rPr>
        <w:t>s</w:t>
      </w:r>
      <w:r w:rsidR="003C07A3">
        <w:rPr>
          <w:rFonts w:ascii="Arial" w:hAnsi="Arial" w:cs="Arial"/>
          <w:lang w:val="en-US"/>
        </w:rPr>
        <w:t>.</w:t>
      </w:r>
      <w:r w:rsidR="00491C38">
        <w:rPr>
          <w:rFonts w:ascii="Arial" w:hAnsi="Arial" w:cs="Arial"/>
          <w:lang w:val="en-US"/>
        </w:rPr>
        <w:t xml:space="preserve"> The planned reviews </w:t>
      </w:r>
      <w:r w:rsidR="00BF71D3">
        <w:rPr>
          <w:rFonts w:ascii="Arial" w:hAnsi="Arial" w:cs="Arial"/>
          <w:lang w:val="en-US"/>
        </w:rPr>
        <w:t xml:space="preserve">would </w:t>
      </w:r>
      <w:r w:rsidR="00316D5D">
        <w:rPr>
          <w:rFonts w:ascii="Arial" w:hAnsi="Arial" w:cs="Arial"/>
          <w:lang w:val="en-US"/>
        </w:rPr>
        <w:t>shape</w:t>
      </w:r>
      <w:r w:rsidR="00CE48D2">
        <w:rPr>
          <w:rFonts w:ascii="Arial" w:hAnsi="Arial" w:cs="Arial"/>
          <w:lang w:val="en-US"/>
        </w:rPr>
        <w:t xml:space="preserve"> </w:t>
      </w:r>
      <w:r w:rsidR="00316D5D">
        <w:rPr>
          <w:rFonts w:ascii="Arial" w:hAnsi="Arial" w:cs="Arial"/>
          <w:lang w:val="en-US"/>
        </w:rPr>
        <w:t>h</w:t>
      </w:r>
      <w:r w:rsidR="00AF493C">
        <w:rPr>
          <w:rFonts w:ascii="Arial" w:hAnsi="Arial" w:cs="Arial"/>
          <w:lang w:val="en-US"/>
        </w:rPr>
        <w:t>ow</w:t>
      </w:r>
      <w:r w:rsidR="00C61B1E">
        <w:rPr>
          <w:rFonts w:ascii="Arial" w:hAnsi="Arial" w:cs="Arial"/>
          <w:lang w:val="en-US"/>
        </w:rPr>
        <w:t xml:space="preserve"> EU institutions define and </w:t>
      </w:r>
      <w:r w:rsidR="00AF493C">
        <w:rPr>
          <w:rFonts w:ascii="Arial" w:hAnsi="Arial" w:cs="Arial"/>
          <w:lang w:val="en-US"/>
        </w:rPr>
        <w:t>understand UMN</w:t>
      </w:r>
      <w:r w:rsidR="008E102B">
        <w:rPr>
          <w:rFonts w:ascii="Arial" w:hAnsi="Arial" w:cs="Arial"/>
          <w:lang w:val="en-US"/>
        </w:rPr>
        <w:t xml:space="preserve"> for the purpose of rewarding innovation through regulatory incentives and support.</w:t>
      </w:r>
      <w:r w:rsidR="001F5649">
        <w:rPr>
          <w:rFonts w:ascii="Arial" w:hAnsi="Arial" w:cs="Arial"/>
          <w:lang w:val="en-US"/>
        </w:rPr>
        <w:t xml:space="preserve"> The agreed understanding and criteria used to determine UMN will:</w:t>
      </w:r>
    </w:p>
    <w:p w14:paraId="36A3F6B7" w14:textId="772BBC4A" w:rsidR="001F5649" w:rsidRDefault="001F5649" w:rsidP="004F7410">
      <w:pPr>
        <w:pStyle w:val="ListParagraph"/>
        <w:rPr>
          <w:lang w:val="en-US"/>
        </w:rPr>
      </w:pPr>
      <w:r>
        <w:rPr>
          <w:lang w:val="en-US"/>
        </w:rPr>
        <w:t>Inform pharmaceutical companies research</w:t>
      </w:r>
      <w:r w:rsidR="00525ED0">
        <w:rPr>
          <w:lang w:val="en-US"/>
        </w:rPr>
        <w:t xml:space="preserve"> and development (R&amp;D)</w:t>
      </w:r>
      <w:r>
        <w:rPr>
          <w:lang w:val="en-US"/>
        </w:rPr>
        <w:t xml:space="preserve"> </w:t>
      </w:r>
      <w:proofErr w:type="spellStart"/>
      <w:proofErr w:type="gramStart"/>
      <w:r>
        <w:rPr>
          <w:lang w:val="en-US"/>
        </w:rPr>
        <w:t>programmes</w:t>
      </w:r>
      <w:proofErr w:type="spellEnd"/>
      <w:r>
        <w:rPr>
          <w:lang w:val="en-US"/>
        </w:rPr>
        <w:t>;</w:t>
      </w:r>
      <w:proofErr w:type="gramEnd"/>
    </w:p>
    <w:p w14:paraId="0D7577FE" w14:textId="6E6C1BF0" w:rsidR="001F5649" w:rsidRDefault="001F5649" w:rsidP="004F7410">
      <w:pPr>
        <w:pStyle w:val="ListParagraph"/>
        <w:rPr>
          <w:lang w:val="en-US"/>
        </w:rPr>
      </w:pPr>
      <w:r>
        <w:rPr>
          <w:lang w:val="en-US"/>
        </w:rPr>
        <w:t>Shape</w:t>
      </w:r>
      <w:r w:rsidR="00355493">
        <w:rPr>
          <w:lang w:val="en-US"/>
        </w:rPr>
        <w:t xml:space="preserve"> developers</w:t>
      </w:r>
      <w:r w:rsidR="000C298B">
        <w:rPr>
          <w:lang w:val="en-US"/>
        </w:rPr>
        <w:t>’</w:t>
      </w:r>
      <w:r>
        <w:rPr>
          <w:lang w:val="en-US"/>
        </w:rPr>
        <w:t xml:space="preserve"> commercialization </w:t>
      </w:r>
      <w:proofErr w:type="gramStart"/>
      <w:r>
        <w:rPr>
          <w:lang w:val="en-US"/>
        </w:rPr>
        <w:t>decisions;</w:t>
      </w:r>
      <w:proofErr w:type="gramEnd"/>
    </w:p>
    <w:p w14:paraId="0F2A3C5A" w14:textId="72C5FFC2" w:rsidR="001F5649" w:rsidRDefault="00BD28CC" w:rsidP="004F7410">
      <w:pPr>
        <w:pStyle w:val="ListParagraph"/>
        <w:rPr>
          <w:lang w:val="en-US"/>
        </w:rPr>
      </w:pPr>
      <w:r>
        <w:rPr>
          <w:lang w:val="en-US"/>
        </w:rPr>
        <w:t>Inform</w:t>
      </w:r>
      <w:r w:rsidR="001A5484">
        <w:rPr>
          <w:lang w:val="en-US"/>
        </w:rPr>
        <w:t xml:space="preserve"> h</w:t>
      </w:r>
      <w:r w:rsidR="001F5649">
        <w:rPr>
          <w:lang w:val="en-US"/>
        </w:rPr>
        <w:t xml:space="preserve">ow society assesses the value of </w:t>
      </w:r>
      <w:proofErr w:type="gramStart"/>
      <w:r w:rsidR="001F5649">
        <w:rPr>
          <w:lang w:val="en-US"/>
        </w:rPr>
        <w:t>therapies;</w:t>
      </w:r>
      <w:proofErr w:type="gramEnd"/>
    </w:p>
    <w:p w14:paraId="7307C183" w14:textId="22361A7D" w:rsidR="001F5649" w:rsidRDefault="00BD28CC" w:rsidP="004F7410">
      <w:pPr>
        <w:pStyle w:val="ListParagraph"/>
        <w:rPr>
          <w:lang w:val="en-US"/>
        </w:rPr>
      </w:pPr>
      <w:r>
        <w:rPr>
          <w:lang w:val="en-US"/>
        </w:rPr>
        <w:t>Inform health priorities and at an extreme level</w:t>
      </w:r>
      <w:r w:rsidR="001A5484">
        <w:rPr>
          <w:lang w:val="en-US"/>
        </w:rPr>
        <w:t xml:space="preserve"> w</w:t>
      </w:r>
      <w:r w:rsidR="001F5649">
        <w:rPr>
          <w:lang w:val="en-US"/>
        </w:rPr>
        <w:t xml:space="preserve">hich </w:t>
      </w:r>
      <w:proofErr w:type="gramStart"/>
      <w:r w:rsidR="001F5649">
        <w:rPr>
          <w:lang w:val="en-US"/>
        </w:rPr>
        <w:t>patients</w:t>
      </w:r>
      <w:proofErr w:type="gramEnd"/>
      <w:r w:rsidR="001F5649">
        <w:rPr>
          <w:lang w:val="en-US"/>
        </w:rPr>
        <w:t xml:space="preserve"> </w:t>
      </w:r>
      <w:r>
        <w:rPr>
          <w:lang w:val="en-US"/>
        </w:rPr>
        <w:t xml:space="preserve">groups </w:t>
      </w:r>
      <w:r w:rsidR="001F5649">
        <w:rPr>
          <w:lang w:val="en-US"/>
        </w:rPr>
        <w:t>will, and will not, benefit from possible new therapies and technologies for the coming decades.</w:t>
      </w:r>
    </w:p>
    <w:p w14:paraId="14FA0ADA" w14:textId="77777777" w:rsidR="00BD4C34" w:rsidRPr="00E94A2B" w:rsidRDefault="00BD4C34" w:rsidP="00C24AD8">
      <w:pPr>
        <w:jc w:val="both"/>
        <w:rPr>
          <w:rFonts w:ascii="Arial" w:hAnsi="Arial" w:cs="Arial"/>
          <w:lang w:val="en-US"/>
        </w:rPr>
      </w:pPr>
    </w:p>
    <w:p w14:paraId="2ABF517A" w14:textId="6E7D63B0" w:rsidR="00DE3BE1" w:rsidRPr="002816D7" w:rsidRDefault="0053089D" w:rsidP="00084A0D">
      <w:pPr>
        <w:pStyle w:val="Heading1"/>
      </w:pPr>
      <w:bookmarkStart w:id="0" w:name="_Hlk99627706"/>
      <w:r>
        <w:t>2</w:t>
      </w:r>
      <w:r w:rsidR="00DE3BE1">
        <w:t>.</w:t>
      </w:r>
      <w:r w:rsidR="009E52F7">
        <w:t xml:space="preserve"> Lack of consensus </w:t>
      </w:r>
      <w:r w:rsidR="00FF0702">
        <w:t>on UMN</w:t>
      </w:r>
    </w:p>
    <w:p w14:paraId="44C901DD" w14:textId="10E91035" w:rsidR="00E73DCE" w:rsidRDefault="00E73DCE" w:rsidP="004A5856">
      <w:pPr>
        <w:jc w:val="both"/>
        <w:rPr>
          <w:rFonts w:ascii="Arial" w:hAnsi="Arial" w:cs="Arial"/>
        </w:rPr>
      </w:pPr>
      <w:r>
        <w:rPr>
          <w:rFonts w:ascii="Arial" w:hAnsi="Arial" w:cs="Arial"/>
        </w:rPr>
        <w:t xml:space="preserve">The concept of UMN seems clear </w:t>
      </w:r>
      <w:r w:rsidR="00534260">
        <w:rPr>
          <w:rFonts w:ascii="Arial" w:hAnsi="Arial" w:cs="Arial"/>
        </w:rPr>
        <w:t>upon first reflection</w:t>
      </w:r>
      <w:r w:rsidR="00AD5B88">
        <w:rPr>
          <w:rFonts w:ascii="Arial" w:hAnsi="Arial" w:cs="Arial"/>
        </w:rPr>
        <w:t xml:space="preserve">, </w:t>
      </w:r>
      <w:proofErr w:type="gramStart"/>
      <w:r w:rsidR="00AD5B88">
        <w:rPr>
          <w:rFonts w:ascii="Arial" w:hAnsi="Arial" w:cs="Arial"/>
        </w:rPr>
        <w:t>but</w:t>
      </w:r>
      <w:r w:rsidR="00FE5C20">
        <w:rPr>
          <w:rFonts w:ascii="Arial" w:hAnsi="Arial" w:cs="Arial"/>
        </w:rPr>
        <w:t>,</w:t>
      </w:r>
      <w:proofErr w:type="gramEnd"/>
      <w:r w:rsidR="00CA5882">
        <w:rPr>
          <w:rFonts w:ascii="Arial" w:hAnsi="Arial" w:cs="Arial"/>
        </w:rPr>
        <w:t xml:space="preserve"> </w:t>
      </w:r>
      <w:r w:rsidR="00FE5C20">
        <w:rPr>
          <w:rFonts w:ascii="Arial" w:hAnsi="Arial" w:cs="Arial"/>
        </w:rPr>
        <w:t>t</w:t>
      </w:r>
      <w:r w:rsidR="00CA5882">
        <w:rPr>
          <w:rFonts w:ascii="Arial" w:hAnsi="Arial" w:cs="Arial"/>
        </w:rPr>
        <w:t xml:space="preserve">he discussion becomes significantly more complex when attempting to codify </w:t>
      </w:r>
      <w:r w:rsidR="00095B55">
        <w:rPr>
          <w:rFonts w:ascii="Arial" w:hAnsi="Arial" w:cs="Arial"/>
        </w:rPr>
        <w:t>UMN and establish a definition that appropriate</w:t>
      </w:r>
      <w:r w:rsidR="00FE5C20">
        <w:rPr>
          <w:rFonts w:ascii="Arial" w:hAnsi="Arial" w:cs="Arial"/>
        </w:rPr>
        <w:t>ly</w:t>
      </w:r>
      <w:r w:rsidR="00095B55">
        <w:rPr>
          <w:rFonts w:ascii="Arial" w:hAnsi="Arial" w:cs="Arial"/>
        </w:rPr>
        <w:t xml:space="preserve"> captures the diversity</w:t>
      </w:r>
      <w:r w:rsidR="00D1130D">
        <w:rPr>
          <w:rFonts w:ascii="Arial" w:hAnsi="Arial" w:cs="Arial"/>
        </w:rPr>
        <w:t xml:space="preserve"> that exists</w:t>
      </w:r>
      <w:r w:rsidR="00095B55">
        <w:rPr>
          <w:rFonts w:ascii="Arial" w:hAnsi="Arial" w:cs="Arial"/>
        </w:rPr>
        <w:t xml:space="preserve">. </w:t>
      </w:r>
    </w:p>
    <w:p w14:paraId="4CA6704E" w14:textId="2E180835" w:rsidR="00EB4E04" w:rsidRDefault="00B44969" w:rsidP="004A5856">
      <w:pPr>
        <w:jc w:val="both"/>
        <w:rPr>
          <w:b/>
          <w:bCs/>
        </w:rPr>
      </w:pPr>
      <w:r>
        <w:t xml:space="preserve">The concept of UMN is not </w:t>
      </w:r>
      <w:r w:rsidR="008C210E">
        <w:t>singular</w:t>
      </w:r>
      <w:r w:rsidR="004F6BE5">
        <w:t>, binary</w:t>
      </w:r>
      <w:r w:rsidR="00EB4E04">
        <w:t xml:space="preserve"> nor fixed. It can and does evolve over </w:t>
      </w:r>
      <w:proofErr w:type="gramStart"/>
      <w:r w:rsidR="00EB4E04">
        <w:t>time</w:t>
      </w:r>
      <w:r w:rsidR="00D31F25">
        <w:t>, and</w:t>
      </w:r>
      <w:proofErr w:type="gramEnd"/>
      <w:r w:rsidR="00D31F25">
        <w:t xml:space="preserve"> is also shaped by the specific stakeholder’s perspective</w:t>
      </w:r>
      <w:r w:rsidR="00EB4E04">
        <w:t xml:space="preserve">. </w:t>
      </w:r>
      <w:r w:rsidR="00D31F25">
        <w:t xml:space="preserve">The common understanding of </w:t>
      </w:r>
      <w:r w:rsidR="008E44FC">
        <w:t>UMN</w:t>
      </w:r>
      <w:r w:rsidR="00EB4E04">
        <w:t xml:space="preserve"> should be sufficiently flexible to ensure that it </w:t>
      </w:r>
      <w:r>
        <w:t xml:space="preserve">keeps pace </w:t>
      </w:r>
      <w:r w:rsidR="00FE5C20">
        <w:t>with scientific progress</w:t>
      </w:r>
      <w:r w:rsidR="00355493">
        <w:t xml:space="preserve"> and reflects local needs</w:t>
      </w:r>
      <w:r w:rsidR="00EB4E04">
        <w:t xml:space="preserve">. A rigid or insufficiently broad understanding of UMN will overlook the needs of diverse patient groups, and risks creating artificial areas of </w:t>
      </w:r>
      <w:r w:rsidR="004F6BE5">
        <w:t>unmet need</w:t>
      </w:r>
      <w:r w:rsidR="00EB4E04">
        <w:t xml:space="preserve">. </w:t>
      </w:r>
      <w:r w:rsidR="00EB4E04" w:rsidRPr="00355493">
        <w:rPr>
          <w:b/>
          <w:bCs/>
        </w:rPr>
        <w:t>This will have practical implications for where research is undertaken and for whom, new therapies are developed.</w:t>
      </w:r>
    </w:p>
    <w:p w14:paraId="097773C4" w14:textId="77777777" w:rsidR="00A017BD" w:rsidRDefault="00A017BD" w:rsidP="004A5856">
      <w:pPr>
        <w:jc w:val="both"/>
        <w:rPr>
          <w:b/>
          <w:bCs/>
        </w:rPr>
      </w:pPr>
    </w:p>
    <w:p w14:paraId="4103DC15" w14:textId="6362D0C1" w:rsidR="008370CC" w:rsidRDefault="008370CC" w:rsidP="00B21DE6">
      <w:pPr>
        <w:jc w:val="both"/>
      </w:pPr>
      <w:r>
        <w:rPr>
          <w:b/>
          <w:bCs/>
        </w:rPr>
        <w:lastRenderedPageBreak/>
        <w:t>RECOMMENDATION</w:t>
      </w:r>
      <w:r w:rsidRPr="006B5F4A">
        <w:rPr>
          <w:b/>
          <w:bCs/>
        </w:rPr>
        <w:t xml:space="preserve"> 1:</w:t>
      </w:r>
      <w:r>
        <w:t xml:space="preserve"> </w:t>
      </w:r>
      <w:r w:rsidR="006755CA" w:rsidRPr="006755CA">
        <w:rPr>
          <w:b/>
          <w:bCs/>
          <w:lang w:val="en-US"/>
        </w:rPr>
        <w:t>Establish a multi-stakeholder dialogue building on existing EMA and HTA dialogue structures along the drug development path, that includes patient representatives, developers, clinicians, regulators, HTA experts and payers, that can continuously refine and update existing assumptions on unmet needs</w:t>
      </w:r>
      <w:r w:rsidRPr="00B41679">
        <w:rPr>
          <w:b/>
          <w:bCs/>
          <w:lang w:val="en-US"/>
        </w:rPr>
        <w:t>.</w:t>
      </w:r>
    </w:p>
    <w:p w14:paraId="394DBC18" w14:textId="23407B37" w:rsidR="00EB4E04" w:rsidRPr="00AB2E8D" w:rsidRDefault="00EB4E04" w:rsidP="004A5856">
      <w:pPr>
        <w:jc w:val="both"/>
        <w:rPr>
          <w:rFonts w:ascii="Arial" w:hAnsi="Arial" w:cs="Arial"/>
          <w:i/>
          <w:iCs/>
          <w:u w:val="single"/>
        </w:rPr>
      </w:pPr>
      <w:r w:rsidRPr="00AB2E8D">
        <w:rPr>
          <w:i/>
          <w:iCs/>
          <w:u w:val="single"/>
        </w:rPr>
        <w:t>Different interpretations of UMN</w:t>
      </w:r>
      <w:r w:rsidR="00C0558C" w:rsidRPr="00AB2E8D">
        <w:rPr>
          <w:i/>
          <w:iCs/>
          <w:u w:val="single"/>
        </w:rPr>
        <w:t xml:space="preserve"> and stakeholder perspectives</w:t>
      </w:r>
    </w:p>
    <w:p w14:paraId="69FA7F38" w14:textId="11DE8E37" w:rsidR="00E63466" w:rsidRDefault="00686D93" w:rsidP="004A5856">
      <w:pPr>
        <w:jc w:val="both"/>
      </w:pPr>
      <w:r>
        <w:rPr>
          <w:rFonts w:ascii="Arial" w:hAnsi="Arial" w:cs="Arial"/>
        </w:rPr>
        <w:t xml:space="preserve">How one understands UMN depends on </w:t>
      </w:r>
      <w:r w:rsidRPr="00826D60">
        <w:t>the conte</w:t>
      </w:r>
      <w:r>
        <w:t xml:space="preserve">xt, the objective of the assessment, </w:t>
      </w:r>
      <w:r w:rsidRPr="00826D60">
        <w:t>the stakeholders’ perspectives (</w:t>
      </w:r>
      <w:proofErr w:type="gramStart"/>
      <w:r w:rsidRPr="00826D60">
        <w:t>e.g.</w:t>
      </w:r>
      <w:proofErr w:type="gramEnd"/>
      <w:r w:rsidRPr="00826D60">
        <w:t xml:space="preserve"> patients, developers, clinicians, regulators, HTA, payers)</w:t>
      </w:r>
      <w:r>
        <w:t xml:space="preserve">, </w:t>
      </w:r>
      <w:r w:rsidRPr="00826D60">
        <w:t>whose need</w:t>
      </w:r>
      <w:r>
        <w:t>s</w:t>
      </w:r>
      <w:r w:rsidRPr="00826D60">
        <w:t xml:space="preserve"> one refers to (e.g. individual or societal),</w:t>
      </w:r>
      <w:r>
        <w:t xml:space="preserve"> and it</w:t>
      </w:r>
      <w:r w:rsidR="00A017BD">
        <w:t>s</w:t>
      </w:r>
      <w:r>
        <w:t xml:space="preserve"> changes over time as the disease progresses or scientific progress is made</w:t>
      </w:r>
      <w:r w:rsidRPr="00826D60">
        <w:t>.</w:t>
      </w:r>
      <w:r>
        <w:t xml:space="preserve"> </w:t>
      </w:r>
      <w:r w:rsidR="00BE0BAF">
        <w:rPr>
          <w:rFonts w:ascii="Arial" w:hAnsi="Arial" w:cs="Arial"/>
        </w:rPr>
        <w:t>A literature review</w:t>
      </w:r>
      <w:r w:rsidR="000C2CCD">
        <w:rPr>
          <w:rFonts w:ascii="Arial" w:hAnsi="Arial" w:cs="Arial"/>
        </w:rPr>
        <w:t xml:space="preserve"> with an international scope </w:t>
      </w:r>
      <w:r w:rsidR="00BE0BAF">
        <w:rPr>
          <w:rFonts w:ascii="Arial" w:hAnsi="Arial" w:cs="Arial"/>
        </w:rPr>
        <w:t xml:space="preserve">revealed </w:t>
      </w:r>
      <w:r w:rsidR="00BE0BAF" w:rsidRPr="00B50BE1">
        <w:rPr>
          <w:rFonts w:ascii="Arial" w:hAnsi="Arial" w:cs="Arial"/>
          <w:b/>
          <w:bCs/>
        </w:rPr>
        <w:t xml:space="preserve">over </w:t>
      </w:r>
      <w:r w:rsidR="006D7202" w:rsidRPr="00B50BE1">
        <w:rPr>
          <w:rFonts w:ascii="Arial" w:hAnsi="Arial" w:cs="Arial"/>
          <w:b/>
          <w:bCs/>
        </w:rPr>
        <w:t>15 different definitions of UMN</w:t>
      </w:r>
      <w:r w:rsidR="006D7202">
        <w:rPr>
          <w:rFonts w:ascii="Arial" w:hAnsi="Arial" w:cs="Arial"/>
        </w:rPr>
        <w:t>, which included different criteria or elements</w:t>
      </w:r>
      <w:r w:rsidR="006D7202">
        <w:rPr>
          <w:rStyle w:val="FootnoteReference"/>
          <w:rFonts w:ascii="Arial" w:hAnsi="Arial" w:cs="Arial"/>
        </w:rPr>
        <w:footnoteReference w:id="2"/>
      </w:r>
      <w:r w:rsidR="006D7202">
        <w:rPr>
          <w:rFonts w:ascii="Arial" w:hAnsi="Arial" w:cs="Arial"/>
        </w:rPr>
        <w:t>.</w:t>
      </w:r>
      <w:r w:rsidR="001E5063">
        <w:rPr>
          <w:rFonts w:ascii="Arial" w:hAnsi="Arial" w:cs="Arial"/>
        </w:rPr>
        <w:t xml:space="preserve"> </w:t>
      </w:r>
    </w:p>
    <w:p w14:paraId="578D008C" w14:textId="4092BFB3" w:rsidR="00D05859" w:rsidRDefault="00A017BD" w:rsidP="00B21DE6">
      <w:pPr>
        <w:jc w:val="both"/>
        <w:rPr>
          <w:rFonts w:ascii="Arial" w:hAnsi="Arial" w:cs="Arial"/>
          <w:lang w:val="en-US"/>
        </w:rPr>
      </w:pPr>
      <w:r>
        <w:rPr>
          <w:noProof/>
        </w:rPr>
        <mc:AlternateContent>
          <mc:Choice Requires="wps">
            <w:drawing>
              <wp:anchor distT="0" distB="0" distL="114300" distR="114300" simplePos="0" relativeHeight="251662336" behindDoc="1" locked="0" layoutInCell="1" allowOverlap="1" wp14:anchorId="0000A74D" wp14:editId="5093218E">
                <wp:simplePos x="0" y="0"/>
                <wp:positionH relativeFrom="page">
                  <wp:posOffset>933450</wp:posOffset>
                </wp:positionH>
                <wp:positionV relativeFrom="paragraph">
                  <wp:posOffset>630555</wp:posOffset>
                </wp:positionV>
                <wp:extent cx="6286500" cy="3657600"/>
                <wp:effectExtent l="0" t="0" r="19050" b="19050"/>
                <wp:wrapTight wrapText="bothSides">
                  <wp:wrapPolygon edited="0">
                    <wp:start x="0" y="0"/>
                    <wp:lineTo x="0" y="21600"/>
                    <wp:lineTo x="21600" y="21600"/>
                    <wp:lineTo x="21600" y="0"/>
                    <wp:lineTo x="0" y="0"/>
                  </wp:wrapPolygon>
                </wp:wrapTight>
                <wp:docPr id="12" name="Text Box 12"/>
                <wp:cNvGraphicFramePr/>
                <a:graphic xmlns:a="http://schemas.openxmlformats.org/drawingml/2006/main">
                  <a:graphicData uri="http://schemas.microsoft.com/office/word/2010/wordprocessingShape">
                    <wps:wsp>
                      <wps:cNvSpPr txBox="1"/>
                      <wps:spPr>
                        <a:xfrm>
                          <a:off x="0" y="0"/>
                          <a:ext cx="6286500" cy="3657600"/>
                        </a:xfrm>
                        <a:prstGeom prst="rect">
                          <a:avLst/>
                        </a:prstGeom>
                        <a:solidFill>
                          <a:schemeClr val="lt1"/>
                        </a:solidFill>
                        <a:ln w="6350">
                          <a:solidFill>
                            <a:srgbClr val="002060"/>
                          </a:solidFill>
                        </a:ln>
                      </wps:spPr>
                      <wps:txbx>
                        <w:txbxContent>
                          <w:p w14:paraId="3BEF8052" w14:textId="77777777" w:rsidR="00825945" w:rsidRPr="00825945" w:rsidRDefault="00825945" w:rsidP="00825945">
                            <w:pPr>
                              <w:jc w:val="center"/>
                              <w:rPr>
                                <w:b/>
                                <w:bCs/>
                              </w:rPr>
                            </w:pPr>
                            <w:r w:rsidRPr="00825945">
                              <w:rPr>
                                <w:b/>
                                <w:bCs/>
                              </w:rPr>
                              <w:t>Table 1: Examples of the UMN concepts at national level</w:t>
                            </w:r>
                          </w:p>
                          <w:p w14:paraId="6E1A9A8F" w14:textId="77777777" w:rsidR="00825945" w:rsidRDefault="00825945" w:rsidP="00825945">
                            <w:pPr>
                              <w:rPr>
                                <w:u w:val="single"/>
                              </w:rPr>
                            </w:pPr>
                            <w:r w:rsidRPr="008E44FC">
                              <w:rPr>
                                <w:u w:val="single"/>
                              </w:rPr>
                              <w:t>Italy</w:t>
                            </w:r>
                          </w:p>
                          <w:p w14:paraId="0E63D698" w14:textId="0BA1C07E" w:rsidR="00825945" w:rsidRDefault="00825945" w:rsidP="004F7410">
                            <w:pPr>
                              <w:pStyle w:val="ListParagraph"/>
                            </w:pPr>
                            <w:r>
                              <w:t xml:space="preserve">To receive ‘innovative </w:t>
                            </w:r>
                            <w:proofErr w:type="gramStart"/>
                            <w:r>
                              <w:t>status’</w:t>
                            </w:r>
                            <w:proofErr w:type="gramEnd"/>
                            <w:r>
                              <w:t xml:space="preserve"> and the incentives linked to this designation, developers must demonstrate “maximum or important level of therapeutic need”, which is a proxy for UMN</w:t>
                            </w:r>
                            <w:r w:rsidR="00D1130D">
                              <w:t xml:space="preserve">. </w:t>
                            </w:r>
                            <w:r>
                              <w:t>Criteria for innovative status are outlined in Resolution No. 1535/2017, Annex 1</w:t>
                            </w:r>
                            <w:r w:rsidR="0053663E">
                              <w:t>.</w:t>
                            </w:r>
                          </w:p>
                          <w:p w14:paraId="272C2D15" w14:textId="77777777" w:rsidR="00825945" w:rsidRDefault="00825945" w:rsidP="00825945">
                            <w:r>
                              <w:rPr>
                                <w:u w:val="single"/>
                              </w:rPr>
                              <w:t>France</w:t>
                            </w:r>
                          </w:p>
                          <w:p w14:paraId="64CA4A61" w14:textId="31F62EF1" w:rsidR="00825945" w:rsidRDefault="00825945" w:rsidP="004F7410">
                            <w:pPr>
                              <w:pStyle w:val="ListParagraph"/>
                            </w:pPr>
                            <w:r>
                              <w:t>HAS’ 2022 ASRM methodology (</w:t>
                            </w:r>
                            <w:hyperlink r:id="rId11" w:history="1">
                              <w:r w:rsidRPr="00825945">
                                <w:rPr>
                                  <w:rStyle w:val="Hyperlink"/>
                                </w:rPr>
                                <w:t>Transparency Committee doctrine</w:t>
                              </w:r>
                            </w:hyperlink>
                            <w:r>
                              <w:t>) includes specific factors, including disease prevalence</w:t>
                            </w:r>
                            <w:r w:rsidR="0053663E">
                              <w:t>.</w:t>
                            </w:r>
                          </w:p>
                          <w:p w14:paraId="32D6036B" w14:textId="61BD5261" w:rsidR="00AF5367" w:rsidRDefault="004F7410" w:rsidP="004F7410">
                            <w:pPr>
                              <w:pStyle w:val="ListParagraph"/>
                            </w:pPr>
                            <w:r>
                              <w:t>A</w:t>
                            </w:r>
                            <w:r w:rsidR="000C2CCD">
                              <w:t>AP</w:t>
                            </w:r>
                            <w:r w:rsidR="00BD28CC">
                              <w:t xml:space="preserve"> (</w:t>
                            </w:r>
                            <w:proofErr w:type="spellStart"/>
                            <w:r w:rsidRPr="004F7410">
                              <w:t>autorisation</w:t>
                            </w:r>
                            <w:proofErr w:type="spellEnd"/>
                            <w:r w:rsidRPr="004F7410">
                              <w:t xml:space="preserve"> </w:t>
                            </w:r>
                            <w:proofErr w:type="spellStart"/>
                            <w:r w:rsidRPr="004F7410">
                              <w:t>d’accès</w:t>
                            </w:r>
                            <w:proofErr w:type="spellEnd"/>
                            <w:r w:rsidRPr="004F7410">
                              <w:t xml:space="preserve"> </w:t>
                            </w:r>
                            <w:proofErr w:type="spellStart"/>
                            <w:r w:rsidRPr="004F7410">
                              <w:t>précoce</w:t>
                            </w:r>
                            <w:proofErr w:type="spellEnd"/>
                            <w:r w:rsidR="00BD28CC">
                              <w:t>)</w:t>
                            </w:r>
                            <w:r w:rsidR="000C2CCD">
                              <w:t xml:space="preserve"> (successor of the </w:t>
                            </w:r>
                            <w:r w:rsidR="00AF5367">
                              <w:t>ATU</w:t>
                            </w:r>
                            <w:r w:rsidR="00BD28CC">
                              <w:t xml:space="preserve"> (</w:t>
                            </w:r>
                            <w:proofErr w:type="spellStart"/>
                            <w:r w:rsidR="00BD28CC" w:rsidRPr="00BD28CC">
                              <w:t>Autorisation</w:t>
                            </w:r>
                            <w:proofErr w:type="spellEnd"/>
                            <w:r w:rsidR="00BD28CC" w:rsidRPr="00BD28CC">
                              <w:t xml:space="preserve"> </w:t>
                            </w:r>
                            <w:proofErr w:type="spellStart"/>
                            <w:r w:rsidR="00BD28CC" w:rsidRPr="00BD28CC">
                              <w:t>Temporaire</w:t>
                            </w:r>
                            <w:proofErr w:type="spellEnd"/>
                            <w:r w:rsidR="00BD28CC" w:rsidRPr="00BD28CC">
                              <w:t xml:space="preserve"> </w:t>
                            </w:r>
                            <w:proofErr w:type="spellStart"/>
                            <w:r w:rsidR="00BD28CC" w:rsidRPr="00BD28CC">
                              <w:t>d'Utilisation</w:t>
                            </w:r>
                            <w:proofErr w:type="spellEnd"/>
                            <w:r w:rsidR="00BD28CC">
                              <w:t>)</w:t>
                            </w:r>
                            <w:r w:rsidR="00AF5367">
                              <w:t xml:space="preserve"> scheme</w:t>
                            </w:r>
                            <w:r>
                              <w:t xml:space="preserve"> for pre-authorization products</w:t>
                            </w:r>
                            <w:r w:rsidR="000C2CCD">
                              <w:t>)</w:t>
                            </w:r>
                            <w:r w:rsidR="006C7BD4">
                              <w:t xml:space="preserve"> is meant to</w:t>
                            </w:r>
                            <w:r w:rsidR="00E45043">
                              <w:t xml:space="preserve"> </w:t>
                            </w:r>
                            <w:r w:rsidR="00AF5367">
                              <w:t>accelerat</w:t>
                            </w:r>
                            <w:r w:rsidR="006C7BD4">
                              <w:t>e</w:t>
                            </w:r>
                            <w:r w:rsidR="00AF5367">
                              <w:t xml:space="preserve"> patient access to promising medicines not yet covered by a marketing authorisation in France, particularly in areas of recognised UMN. To achieve faster access, promising medicines are made available through the </w:t>
                            </w:r>
                            <w:r w:rsidR="00FD3FF5">
                              <w:t>EAP</w:t>
                            </w:r>
                            <w:r w:rsidR="00AF5367">
                              <w:t xml:space="preserve"> before they are granted European Medicines Agency marketing authorisation and before an HTA reimbursement decision is made.</w:t>
                            </w:r>
                          </w:p>
                          <w:p w14:paraId="3F945D94" w14:textId="77777777" w:rsidR="00825945" w:rsidRDefault="00825945" w:rsidP="00825945">
                            <w:r>
                              <w:rPr>
                                <w:u w:val="single"/>
                              </w:rPr>
                              <w:t>Belgium</w:t>
                            </w:r>
                          </w:p>
                          <w:p w14:paraId="39D6D7A6" w14:textId="77777777" w:rsidR="00825945" w:rsidRPr="00825945" w:rsidRDefault="00825945" w:rsidP="004F7410">
                            <w:pPr>
                              <w:pStyle w:val="ListParagraph"/>
                            </w:pPr>
                            <w:r>
                              <w:t>Federal legislation (2014/22066, Article 5) outlines the necessary criteria for a therapy to be considered an UMN in the context of reimbursement decisions.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000A74D" id="_x0000_t202" coordsize="21600,21600" o:spt="202" path="m,l,21600r21600,l21600,xe">
                <v:stroke joinstyle="miter"/>
                <v:path gradientshapeok="t" o:connecttype="rect"/>
              </v:shapetype>
              <v:shape id="Text Box 12" o:spid="_x0000_s1026" type="#_x0000_t202" style="position:absolute;left:0;text-align:left;margin-left:73.5pt;margin-top:49.65pt;width:495pt;height:4in;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" fillcolor="white [3201]" strokecolor="#002060" strokeweight=".5pt">
                <v:textbox>
                  <w:txbxContent>
                    <w:p w14:paraId="3BEF8052" w14:textId="77777777" w:rsidR="00825945" w:rsidRPr="00825945" w:rsidRDefault="00825945" w:rsidP="00825945">
                      <w:pPr>
                        <w:jc w:val="center"/>
                        <w:rPr>
                          <w:b/>
                          <w:bCs/>
                        </w:rPr>
                      </w:pPr>
                      <w:r w:rsidRPr="00825945">
                        <w:rPr>
                          <w:b/>
                          <w:bCs/>
                        </w:rPr>
                        <w:t>Table 1: Examples of the UMN concepts at national level</w:t>
                      </w:r>
                    </w:p>
                    <w:p w14:paraId="6E1A9A8F" w14:textId="77777777" w:rsidR="00825945" w:rsidRDefault="00825945" w:rsidP="00825945">
                      <w:pPr>
                        <w:rPr>
                          <w:u w:val="single"/>
                        </w:rPr>
                      </w:pPr>
                      <w:r w:rsidRPr="008E44FC">
                        <w:rPr>
                          <w:u w:val="single"/>
                        </w:rPr>
                        <w:t>Italy</w:t>
                      </w:r>
                    </w:p>
                    <w:p w14:paraId="0E63D698" w14:textId="0BA1C07E" w:rsidR="00825945" w:rsidRDefault="00825945" w:rsidP="004F7410">
                      <w:pPr>
                        <w:pStyle w:val="ListParagraph"/>
                      </w:pPr>
                      <w:r>
                        <w:t>To receive ‘innovative status’ and the incentives linked to this designation, developers must demonstrate “maximum or important level of therapeutic need”, which is a proxy for UMN</w:t>
                      </w:r>
                      <w:r w:rsidR="00D1130D">
                        <w:t xml:space="preserve">. </w:t>
                      </w:r>
                      <w:r>
                        <w:t>Criteria for innovative status are outlined in Resolution No. 1535/2017, Annex 1</w:t>
                      </w:r>
                      <w:r w:rsidR="0053663E">
                        <w:t>.</w:t>
                      </w:r>
                    </w:p>
                    <w:p w14:paraId="272C2D15" w14:textId="77777777" w:rsidR="00825945" w:rsidRDefault="00825945" w:rsidP="00825945">
                      <w:r>
                        <w:rPr>
                          <w:u w:val="single"/>
                        </w:rPr>
                        <w:t>France</w:t>
                      </w:r>
                    </w:p>
                    <w:p w14:paraId="64CA4A61" w14:textId="31F62EF1" w:rsidR="00825945" w:rsidRDefault="00825945" w:rsidP="004F7410">
                      <w:pPr>
                        <w:pStyle w:val="ListParagraph"/>
                      </w:pPr>
                      <w:r>
                        <w:t>HAS’ 2022 ASRM methodology (</w:t>
                      </w:r>
                      <w:hyperlink r:id="rId12" w:history="1">
                        <w:r w:rsidRPr="00825945">
                          <w:rPr>
                            <w:rStyle w:val="Hyperlink"/>
                          </w:rPr>
                          <w:t>Transparency Committee doctrine</w:t>
                        </w:r>
                      </w:hyperlink>
                      <w:r>
                        <w:t>) includes specific factors, including disease prevalence</w:t>
                      </w:r>
                      <w:r w:rsidR="0053663E">
                        <w:t>.</w:t>
                      </w:r>
                    </w:p>
                    <w:p w14:paraId="32D6036B" w14:textId="61BD5261" w:rsidR="00AF5367" w:rsidRDefault="004F7410" w:rsidP="004F7410">
                      <w:pPr>
                        <w:pStyle w:val="ListParagraph"/>
                      </w:pPr>
                      <w:r>
                        <w:t>A</w:t>
                      </w:r>
                      <w:r w:rsidR="000C2CCD">
                        <w:t>AP</w:t>
                      </w:r>
                      <w:r w:rsidR="00BD28CC">
                        <w:t xml:space="preserve"> (</w:t>
                      </w:r>
                      <w:proofErr w:type="spellStart"/>
                      <w:r w:rsidRPr="004F7410">
                        <w:t>autorisation</w:t>
                      </w:r>
                      <w:proofErr w:type="spellEnd"/>
                      <w:r w:rsidRPr="004F7410">
                        <w:t xml:space="preserve"> </w:t>
                      </w:r>
                      <w:proofErr w:type="spellStart"/>
                      <w:r w:rsidRPr="004F7410">
                        <w:t>d’accès</w:t>
                      </w:r>
                      <w:proofErr w:type="spellEnd"/>
                      <w:r w:rsidRPr="004F7410">
                        <w:t xml:space="preserve"> </w:t>
                      </w:r>
                      <w:proofErr w:type="spellStart"/>
                      <w:r w:rsidRPr="004F7410">
                        <w:t>précoce</w:t>
                      </w:r>
                      <w:proofErr w:type="spellEnd"/>
                      <w:r w:rsidR="00BD28CC">
                        <w:t>)</w:t>
                      </w:r>
                      <w:r w:rsidR="000C2CCD">
                        <w:t xml:space="preserve"> (successor of the </w:t>
                      </w:r>
                      <w:r w:rsidR="00AF5367">
                        <w:t>ATU</w:t>
                      </w:r>
                      <w:r w:rsidR="00BD28CC">
                        <w:t xml:space="preserve"> (</w:t>
                      </w:r>
                      <w:proofErr w:type="spellStart"/>
                      <w:r w:rsidR="00BD28CC" w:rsidRPr="00BD28CC">
                        <w:t>Autorisation</w:t>
                      </w:r>
                      <w:proofErr w:type="spellEnd"/>
                      <w:r w:rsidR="00BD28CC" w:rsidRPr="00BD28CC">
                        <w:t xml:space="preserve"> </w:t>
                      </w:r>
                      <w:proofErr w:type="spellStart"/>
                      <w:r w:rsidR="00BD28CC" w:rsidRPr="00BD28CC">
                        <w:t>Temporaire</w:t>
                      </w:r>
                      <w:proofErr w:type="spellEnd"/>
                      <w:r w:rsidR="00BD28CC" w:rsidRPr="00BD28CC">
                        <w:t xml:space="preserve"> </w:t>
                      </w:r>
                      <w:proofErr w:type="spellStart"/>
                      <w:r w:rsidR="00BD28CC" w:rsidRPr="00BD28CC">
                        <w:t>d'Utilisation</w:t>
                      </w:r>
                      <w:proofErr w:type="spellEnd"/>
                      <w:r w:rsidR="00BD28CC">
                        <w:t>)</w:t>
                      </w:r>
                      <w:r w:rsidR="00AF5367">
                        <w:t xml:space="preserve"> scheme</w:t>
                      </w:r>
                      <w:r>
                        <w:t xml:space="preserve"> for pre-authorization products</w:t>
                      </w:r>
                      <w:r w:rsidR="000C2CCD">
                        <w:t>)</w:t>
                      </w:r>
                      <w:r w:rsidR="006C7BD4">
                        <w:t xml:space="preserve"> is meant to</w:t>
                      </w:r>
                      <w:r w:rsidR="00E45043">
                        <w:t xml:space="preserve"> </w:t>
                      </w:r>
                      <w:r w:rsidR="00AF5367">
                        <w:t>accelerat</w:t>
                      </w:r>
                      <w:r w:rsidR="006C7BD4">
                        <w:t>e</w:t>
                      </w:r>
                      <w:r w:rsidR="00AF5367">
                        <w:t xml:space="preserve"> patient access to promising medicines not yet covered by a marketing authorisation in France, particularly in areas of recognised UMN. To achieve faster access, promising medicines are made available through the </w:t>
                      </w:r>
                      <w:r w:rsidR="00FD3FF5">
                        <w:t>EAP</w:t>
                      </w:r>
                      <w:r w:rsidR="00AF5367">
                        <w:t xml:space="preserve"> before they are granted European Medicines Agency marketing authorisation and before an HTA reimbursement decision is made.</w:t>
                      </w:r>
                    </w:p>
                    <w:p w14:paraId="3F945D94" w14:textId="77777777" w:rsidR="00825945" w:rsidRDefault="00825945" w:rsidP="00825945">
                      <w:r>
                        <w:rPr>
                          <w:u w:val="single"/>
                        </w:rPr>
                        <w:t>Belgium</w:t>
                      </w:r>
                    </w:p>
                    <w:p w14:paraId="39D6D7A6" w14:textId="77777777" w:rsidR="00825945" w:rsidRPr="00825945" w:rsidRDefault="00825945" w:rsidP="004F7410">
                      <w:pPr>
                        <w:pStyle w:val="ListParagraph"/>
                      </w:pPr>
                      <w:r>
                        <w:t>Federal legislation (2014/22066, Article 5) outlines the necessary criteria for a therapy to be considered an UMN in the context of reimbursement decisions.</w:t>
                      </w:r>
                    </w:p>
                  </w:txbxContent>
                </v:textbox>
                <w10:wrap type="tight" anchorx="page"/>
              </v:shape>
            </w:pict>
          </mc:Fallback>
        </mc:AlternateContent>
      </w:r>
      <w:r w:rsidR="008E44FC">
        <w:t>T</w:t>
      </w:r>
      <w:r w:rsidR="00E63466">
        <w:t xml:space="preserve">he concept of UMN </w:t>
      </w:r>
      <w:r w:rsidR="004D4E05">
        <w:t xml:space="preserve">may be formally or informally incorporated </w:t>
      </w:r>
      <w:r w:rsidR="009422EF">
        <w:t xml:space="preserve">in decisions at </w:t>
      </w:r>
      <w:r w:rsidR="00E63466">
        <w:t xml:space="preserve">national level in several Member States to inform their </w:t>
      </w:r>
      <w:r w:rsidR="00434321">
        <w:t>health technology assessment (</w:t>
      </w:r>
      <w:r w:rsidR="00E63466">
        <w:t>HTA</w:t>
      </w:r>
      <w:r w:rsidR="00434321">
        <w:t>)</w:t>
      </w:r>
      <w:r w:rsidR="00E63466">
        <w:t xml:space="preserve"> and pricing and reimbursement (P&amp;R) decisions. </w:t>
      </w:r>
      <w:r w:rsidR="007E0907">
        <w:t xml:space="preserve">Below are examples of what </w:t>
      </w:r>
      <w:r w:rsidR="007324CD">
        <w:t xml:space="preserve">some Member States </w:t>
      </w:r>
      <w:r w:rsidR="007E0907">
        <w:t xml:space="preserve">look for when assessing </w:t>
      </w:r>
      <w:proofErr w:type="gramStart"/>
      <w:r w:rsidR="007E0907">
        <w:lastRenderedPageBreak/>
        <w:t>UMN:</w:t>
      </w:r>
      <w:r w:rsidR="00D05859">
        <w:rPr>
          <w:rFonts w:ascii="Arial" w:hAnsi="Arial" w:cs="Arial"/>
          <w:b/>
          <w:bCs/>
        </w:rPr>
        <w:t>RECOMMENDATION</w:t>
      </w:r>
      <w:proofErr w:type="gramEnd"/>
      <w:r w:rsidR="00D05859">
        <w:rPr>
          <w:rFonts w:ascii="Arial" w:hAnsi="Arial" w:cs="Arial"/>
          <w:b/>
          <w:bCs/>
        </w:rPr>
        <w:t xml:space="preserve"> 2</w:t>
      </w:r>
      <w:r w:rsidR="00D05859" w:rsidRPr="00BA7010">
        <w:rPr>
          <w:rFonts w:ascii="Arial" w:hAnsi="Arial" w:cs="Arial"/>
          <w:b/>
          <w:bCs/>
        </w:rPr>
        <w:t>:</w:t>
      </w:r>
      <w:r w:rsidR="00D05859" w:rsidRPr="00333E0D">
        <w:rPr>
          <w:rFonts w:ascii="Arial" w:hAnsi="Arial" w:cs="Arial"/>
          <w:b/>
          <w:bCs/>
        </w:rPr>
        <w:t xml:space="preserve"> </w:t>
      </w:r>
      <w:r w:rsidR="00F67868" w:rsidRPr="00F67868">
        <w:rPr>
          <w:rFonts w:ascii="Arial" w:hAnsi="Arial" w:cs="Arial"/>
          <w:b/>
          <w:bCs/>
        </w:rPr>
        <w:t xml:space="preserve">The necessary guidance to assess (H)UMN already exists in various EU legislative and non-legislative documents. Therefore, we should maintain a broad understanding of UMN at EU level by not further codifying the concept in the General Pharmaceutical, OMP and </w:t>
      </w:r>
      <w:proofErr w:type="spellStart"/>
      <w:r w:rsidR="00F67868" w:rsidRPr="00F67868">
        <w:rPr>
          <w:rFonts w:ascii="Arial" w:hAnsi="Arial" w:cs="Arial"/>
          <w:b/>
          <w:bCs/>
        </w:rPr>
        <w:t>Pediatric</w:t>
      </w:r>
      <w:proofErr w:type="spellEnd"/>
      <w:r w:rsidR="00F67868" w:rsidRPr="00F67868">
        <w:rPr>
          <w:rFonts w:ascii="Arial" w:hAnsi="Arial" w:cs="Arial"/>
          <w:b/>
          <w:bCs/>
        </w:rPr>
        <w:t xml:space="preserve"> legislation, to encourage continued research for all patient populations who can benefit from therapeutic innovation</w:t>
      </w:r>
      <w:r w:rsidR="00D05859" w:rsidRPr="00881D12">
        <w:rPr>
          <w:rFonts w:ascii="Arial" w:hAnsi="Arial" w:cs="Arial"/>
          <w:b/>
          <w:bCs/>
          <w:lang w:val="en-US"/>
        </w:rPr>
        <w:t>.</w:t>
      </w:r>
    </w:p>
    <w:p w14:paraId="575AD872" w14:textId="77777777" w:rsidR="00D05859" w:rsidRPr="00D033D2" w:rsidRDefault="00D05859" w:rsidP="00D05859">
      <w:pPr>
        <w:jc w:val="both"/>
        <w:rPr>
          <w:i/>
          <w:iCs/>
          <w:u w:val="single"/>
        </w:rPr>
      </w:pPr>
      <w:r w:rsidRPr="00D033D2">
        <w:rPr>
          <w:i/>
          <w:iCs/>
          <w:u w:val="single"/>
        </w:rPr>
        <w:t>All patients deserve to benefit from continued technological innovation</w:t>
      </w:r>
    </w:p>
    <w:p w14:paraId="532E623B" w14:textId="5E8372FB" w:rsidR="00D05859" w:rsidRDefault="00D05859" w:rsidP="00D05859">
      <w:pPr>
        <w:jc w:val="both"/>
      </w:pPr>
      <w:r>
        <w:t xml:space="preserve">Although patients might benefit from </w:t>
      </w:r>
      <w:r w:rsidRPr="00B21DE6">
        <w:t>an</w:t>
      </w:r>
      <w:r>
        <w:t xml:space="preserve"> existing treatment, they might still benefit from </w:t>
      </w:r>
      <w:r w:rsidR="00166D88">
        <w:t xml:space="preserve">future </w:t>
      </w:r>
      <w:r>
        <w:t>innovation</w:t>
      </w:r>
      <w:r w:rsidR="00E6577B">
        <w:t xml:space="preserve"> built on research and development programmes</w:t>
      </w:r>
      <w:r>
        <w:t xml:space="preserve"> that yield better outcomes by reducing the disease or treatment burden</w:t>
      </w:r>
      <w:r w:rsidR="004F7410">
        <w:t>. One approved treatment does not necessarily alleviate all UMNs</w:t>
      </w:r>
      <w:r w:rsidR="0027248A">
        <w:t>.</w:t>
      </w:r>
      <w:r w:rsidR="004F7410">
        <w:t xml:space="preserve"> Continued innovation and development </w:t>
      </w:r>
      <w:r w:rsidR="0027248A">
        <w:t xml:space="preserve">as in the case of </w:t>
      </w:r>
      <w:r w:rsidR="004F7410">
        <w:t xml:space="preserve">rare blood cancers, such as </w:t>
      </w:r>
      <w:r w:rsidR="004F7410" w:rsidRPr="004F7410">
        <w:t>myeloproliferative neoplasms (MPN)</w:t>
      </w:r>
      <w:r w:rsidR="0027248A">
        <w:t>,</w:t>
      </w:r>
      <w:r w:rsidR="004F7410">
        <w:t xml:space="preserve"> </w:t>
      </w:r>
      <w:r w:rsidR="0027248A">
        <w:t xml:space="preserve">has ensured that patients </w:t>
      </w:r>
      <w:r w:rsidR="004F7410">
        <w:t xml:space="preserve">can be treated with less </w:t>
      </w:r>
      <w:r w:rsidR="0027248A">
        <w:t>complications and side events, thus, leading to higher quality of life and higher life expectancy</w:t>
      </w:r>
      <w:r w:rsidR="0027248A">
        <w:rPr>
          <w:rStyle w:val="FootnoteReference"/>
        </w:rPr>
        <w:footnoteReference w:id="3"/>
      </w:r>
      <w:r w:rsidR="0027248A">
        <w:t xml:space="preserve">. Similarly, </w:t>
      </w:r>
      <w:proofErr w:type="gramStart"/>
      <w:r>
        <w:t>in the area of</w:t>
      </w:r>
      <w:proofErr w:type="gramEnd"/>
      <w:r>
        <w:t xml:space="preserve"> multiple myeloma</w:t>
      </w:r>
      <w:r w:rsidR="0027248A">
        <w:t>, continued development of treatments</w:t>
      </w:r>
      <w:r>
        <w:t xml:space="preserve"> has increased median survival from 2-3 years 20 years ago, to over 10 years with long-term durable remissions in an increasing proportion of patients</w:t>
      </w:r>
      <w:r>
        <w:rPr>
          <w:rStyle w:val="FootnoteReference"/>
        </w:rPr>
        <w:footnoteReference w:id="4"/>
      </w:r>
      <w:r>
        <w:t>.</w:t>
      </w:r>
      <w:r w:rsidR="0027248A">
        <w:t xml:space="preserve"> Yet, UMN continue</w:t>
      </w:r>
      <w:r w:rsidR="00E01848">
        <w:t>s</w:t>
      </w:r>
      <w:r w:rsidR="0027248A">
        <w:t xml:space="preserve"> to exist. Research and development must continue for these patients and should not stop at the first treatment. Competition between different therapeutic approaches helps patients and drives innovation.</w:t>
      </w:r>
      <w:r>
        <w:t xml:space="preserve"> Diversity in treatment options provides healthcare professionals with a variety of viable treatment options that reflect the needs of the patient. </w:t>
      </w:r>
      <w:r w:rsidRPr="00C35D7E">
        <w:t xml:space="preserve">If the first direct acting anti-viral in </w:t>
      </w:r>
      <w:r w:rsidRPr="00C35D7E">
        <w:rPr>
          <w:b/>
          <w:bCs/>
        </w:rPr>
        <w:t>Hepatitis C</w:t>
      </w:r>
      <w:r w:rsidRPr="00C35D7E">
        <w:t xml:space="preserve"> had been considered to fully address an UMN, the development of pan</w:t>
      </w:r>
      <w:r w:rsidR="00E01848">
        <w:t>-</w:t>
      </w:r>
      <w:r w:rsidRPr="00C35D7E">
        <w:t>genotypic treatment regimens (acting against every genotype) would not</w:t>
      </w:r>
      <w:r>
        <w:t xml:space="preserve"> have</w:t>
      </w:r>
      <w:r w:rsidRPr="00C35D7E">
        <w:t xml:space="preserve"> been developed.</w:t>
      </w:r>
      <w:r>
        <w:t xml:space="preserve"> Continued innovation not only provided novel therapeutic solutions for </w:t>
      </w:r>
      <w:proofErr w:type="gramStart"/>
      <w:r>
        <w:t>patients, but</w:t>
      </w:r>
      <w:proofErr w:type="gramEnd"/>
      <w:r>
        <w:t xml:space="preserve"> helped reduce the price of anti-viral therapies. The same </w:t>
      </w:r>
      <w:r w:rsidRPr="00E311D3">
        <w:t>would apply to patients who are refractory to or intolerant of first-line antibiotics/antifungals and may need use of reserve antimicrobials to treat life-threatening infections.</w:t>
      </w:r>
    </w:p>
    <w:p w14:paraId="357B62F3" w14:textId="58C2CAC4" w:rsidR="00D05859" w:rsidRDefault="00D05859" w:rsidP="00D05859">
      <w:pPr>
        <w:jc w:val="both"/>
      </w:pPr>
      <w:r w:rsidRPr="00021282">
        <w:t>In addition to</w:t>
      </w:r>
      <w:r>
        <w:t xml:space="preserve"> the availability criteria of a</w:t>
      </w:r>
      <w:r w:rsidRPr="00021282">
        <w:t xml:space="preserve"> treatment, there are </w:t>
      </w:r>
      <w:r w:rsidRPr="00021282">
        <w:rPr>
          <w:b/>
          <w:bCs/>
        </w:rPr>
        <w:t xml:space="preserve">several other important </w:t>
      </w:r>
      <w:r>
        <w:rPr>
          <w:b/>
          <w:bCs/>
        </w:rPr>
        <w:t>factors</w:t>
      </w:r>
      <w:r w:rsidRPr="00021282">
        <w:rPr>
          <w:b/>
          <w:bCs/>
        </w:rPr>
        <w:t xml:space="preserve"> that should be considered</w:t>
      </w:r>
      <w:r w:rsidRPr="00021282">
        <w:t xml:space="preserve"> when discussing UMN, including disease severity, burden of illness</w:t>
      </w:r>
      <w:r w:rsidR="003E6A9F">
        <w:t>, burden of treatment</w:t>
      </w:r>
      <w:r>
        <w:t>, mortality, existence of a satisfactory treatment</w:t>
      </w:r>
      <w:r w:rsidRPr="00021282">
        <w:t xml:space="preserve"> (e.g. only symptomatic treatments available, etc.</w:t>
      </w:r>
      <w:proofErr w:type="gramStart"/>
      <w:r w:rsidRPr="00021282">
        <w:t>),  quality</w:t>
      </w:r>
      <w:proofErr w:type="gramEnd"/>
      <w:r w:rsidRPr="00021282">
        <w:t xml:space="preserve"> of life, and indirect impact on families and caregivers. These factors are especially important in the </w:t>
      </w:r>
      <w:r w:rsidRPr="00021282">
        <w:rPr>
          <w:b/>
          <w:bCs/>
        </w:rPr>
        <w:t>rare disease context</w:t>
      </w:r>
      <w:r w:rsidRPr="00021282">
        <w:t xml:space="preserve"> and when reflecting on scientific and technological </w:t>
      </w:r>
      <w:r>
        <w:t>value</w:t>
      </w:r>
      <w:r w:rsidRPr="00021282">
        <w:t>.</w:t>
      </w:r>
      <w:r>
        <w:t xml:space="preserve"> The development of a treatment that addresses the underlying cause of the condition, or a cell or gene therapy is an important and transformative milestone. However,</w:t>
      </w:r>
      <w:r w:rsidRPr="00021282">
        <w:t xml:space="preserve"> </w:t>
      </w:r>
      <w:r>
        <w:t>t</w:t>
      </w:r>
      <w:r w:rsidRPr="00021282">
        <w:t xml:space="preserve">he </w:t>
      </w:r>
      <w:r>
        <w:t>emergence</w:t>
      </w:r>
      <w:r w:rsidRPr="00021282">
        <w:t xml:space="preserve"> of a symptomatic treatment where no previous therapy existed </w:t>
      </w:r>
      <w:r>
        <w:t>also</w:t>
      </w:r>
      <w:r w:rsidRPr="00021282">
        <w:t xml:space="preserve"> represent</w:t>
      </w:r>
      <w:r>
        <w:t>s</w:t>
      </w:r>
      <w:r w:rsidRPr="00021282">
        <w:t xml:space="preserve"> a major step forward. </w:t>
      </w:r>
      <w:r>
        <w:t>Both types of interventions can represent important developments to the people’s lives, as well as those of their families and caregivers. These cases demonstrate the importance of</w:t>
      </w:r>
      <w:r w:rsidRPr="00021282">
        <w:t xml:space="preserve"> reflecting on the patient </w:t>
      </w:r>
      <w:proofErr w:type="gramStart"/>
      <w:r w:rsidRPr="00021282">
        <w:t>experience, and</w:t>
      </w:r>
      <w:proofErr w:type="gramEnd"/>
      <w:r w:rsidRPr="00021282">
        <w:t xml:space="preserve"> ensuring that the patients are placed at the centre of a discussion around UMN is essential.</w:t>
      </w:r>
    </w:p>
    <w:p w14:paraId="598FE53C" w14:textId="30F750AC" w:rsidR="00D05859" w:rsidRDefault="00D05859" w:rsidP="00D05859">
      <w:pPr>
        <w:jc w:val="both"/>
      </w:pPr>
      <w:r>
        <w:rPr>
          <w:b/>
          <w:bCs/>
        </w:rPr>
        <w:lastRenderedPageBreak/>
        <w:t xml:space="preserve">Ultimately, </w:t>
      </w:r>
      <w:r w:rsidRPr="00B50BE1">
        <w:rPr>
          <w:b/>
          <w:bCs/>
        </w:rPr>
        <w:t xml:space="preserve">UMN is not a static </w:t>
      </w:r>
      <w:proofErr w:type="gramStart"/>
      <w:r w:rsidRPr="00B50BE1">
        <w:rPr>
          <w:b/>
          <w:bCs/>
        </w:rPr>
        <w:t>concept</w:t>
      </w:r>
      <w:r>
        <w:t xml:space="preserve"> </w:t>
      </w:r>
      <w:r w:rsidRPr="00B50BE1">
        <w:rPr>
          <w:b/>
          <w:bCs/>
        </w:rPr>
        <w:t xml:space="preserve"> and</w:t>
      </w:r>
      <w:proofErr w:type="gramEnd"/>
      <w:r w:rsidRPr="00B50BE1">
        <w:rPr>
          <w:b/>
          <w:bCs/>
        </w:rPr>
        <w:t xml:space="preserve"> evolves over time</w:t>
      </w:r>
      <w:r>
        <w:t>. As new therapies are developed</w:t>
      </w:r>
      <w:r w:rsidR="0035129F">
        <w:t xml:space="preserve"> and our understanding of the disease improves</w:t>
      </w:r>
      <w:r>
        <w:t>, different disease areas might become</w:t>
      </w:r>
      <w:r w:rsidR="0035129F">
        <w:t xml:space="preserve"> more straightforward to</w:t>
      </w:r>
      <w:r>
        <w:t xml:space="preserve"> treat, signalling a shift in where research is needed and UMN exists. The emergence of new technologies such as advanced therapy medicinal products (ATMPs) offers previously unimaginable treatment options. External factors also shape UMN discussions. The COVID-19 pandemic illustrated the need for more research in pandemic preparedness, and climate change will allow for diseases to spread to new geographic regions.</w:t>
      </w:r>
    </w:p>
    <w:p w14:paraId="005A0A4A" w14:textId="77777777" w:rsidR="00D05859" w:rsidRDefault="00D05859" w:rsidP="00D05859">
      <w:pPr>
        <w:jc w:val="both"/>
      </w:pPr>
      <w:r>
        <w:t xml:space="preserve">The driving force behind UMNs also differs based on the therapy area and the patient community being discussed. As illustrated when considering rare diseases, neglected tropical diseases, antimicrobial resistance (AMR), and chronic conditions such as neurology, there are different reasons why UMNs exist. Adopting a </w:t>
      </w:r>
      <w:r w:rsidRPr="004B0470">
        <w:rPr>
          <w:b/>
          <w:bCs/>
        </w:rPr>
        <w:t xml:space="preserve">strict </w:t>
      </w:r>
      <w:r>
        <w:rPr>
          <w:b/>
          <w:bCs/>
        </w:rPr>
        <w:t>EU interpretation</w:t>
      </w:r>
      <w:r w:rsidRPr="004B0470">
        <w:rPr>
          <w:b/>
          <w:bCs/>
        </w:rPr>
        <w:t xml:space="preserve"> of UMN will overlook important elements and causes of </w:t>
      </w:r>
      <w:proofErr w:type="gramStart"/>
      <w:r w:rsidRPr="004B0470">
        <w:rPr>
          <w:b/>
          <w:bCs/>
        </w:rPr>
        <w:t>UMN</w:t>
      </w:r>
      <w:r>
        <w:rPr>
          <w:b/>
          <w:bCs/>
        </w:rPr>
        <w:t>,</w:t>
      </w:r>
      <w:r>
        <w:t xml:space="preserve"> </w:t>
      </w:r>
      <w:r w:rsidRPr="006B7441">
        <w:rPr>
          <w:b/>
          <w:bCs/>
        </w:rPr>
        <w:t>and</w:t>
      </w:r>
      <w:proofErr w:type="gramEnd"/>
      <w:r w:rsidRPr="006B7441">
        <w:rPr>
          <w:b/>
          <w:bCs/>
        </w:rPr>
        <w:t xml:space="preserve"> prevent the Commission from achieving its goal of encouraging innovation in areas where no or only a few therapeutic options are available</w:t>
      </w:r>
      <w:r>
        <w:t>.</w:t>
      </w:r>
    </w:p>
    <w:p w14:paraId="1820DEE1" w14:textId="0F8BFD4F" w:rsidR="00047788" w:rsidRPr="00047788" w:rsidRDefault="00047788" w:rsidP="004A5856">
      <w:pPr>
        <w:jc w:val="both"/>
        <w:rPr>
          <w:rFonts w:ascii="Arial" w:hAnsi="Arial" w:cs="Arial"/>
        </w:rPr>
      </w:pPr>
    </w:p>
    <w:p w14:paraId="21F9F931" w14:textId="5B0D01CE" w:rsidR="0053089D" w:rsidRDefault="0053089D" w:rsidP="00084A0D">
      <w:pPr>
        <w:pStyle w:val="Heading1"/>
      </w:pPr>
      <w:r>
        <w:t>3. possible Implications of the legislative review</w:t>
      </w:r>
    </w:p>
    <w:p w14:paraId="0DD996E9" w14:textId="0535E356" w:rsidR="0053089D" w:rsidRDefault="0053089D" w:rsidP="0053089D">
      <w:pPr>
        <w:jc w:val="both"/>
        <w:rPr>
          <w:rFonts w:ascii="Arial" w:hAnsi="Arial" w:cs="Arial"/>
          <w:lang w:val="en-US"/>
        </w:rPr>
      </w:pPr>
      <w:r w:rsidRPr="001B2C43">
        <w:rPr>
          <w:rFonts w:ascii="Arial" w:hAnsi="Arial" w:cs="Arial"/>
          <w:lang w:val="en-US"/>
        </w:rPr>
        <w:t>A</w:t>
      </w:r>
      <w:r>
        <w:rPr>
          <w:rFonts w:ascii="Arial" w:hAnsi="Arial" w:cs="Arial"/>
          <w:lang w:val="en-US"/>
        </w:rPr>
        <w:t>n</w:t>
      </w:r>
      <w:r w:rsidRPr="001B2C43">
        <w:rPr>
          <w:rFonts w:ascii="Arial" w:hAnsi="Arial" w:cs="Arial"/>
          <w:lang w:val="en-US"/>
        </w:rPr>
        <w:t xml:space="preserve"> EU definition of U</w:t>
      </w:r>
      <w:r>
        <w:rPr>
          <w:rFonts w:ascii="Arial" w:hAnsi="Arial" w:cs="Arial"/>
          <w:lang w:val="en-US"/>
        </w:rPr>
        <w:t xml:space="preserve">MN </w:t>
      </w:r>
      <w:r w:rsidR="00183C09">
        <w:rPr>
          <w:rFonts w:ascii="Arial" w:hAnsi="Arial" w:cs="Arial"/>
          <w:lang w:val="en-US"/>
        </w:rPr>
        <w:t xml:space="preserve">would have </w:t>
      </w:r>
      <w:r>
        <w:rPr>
          <w:rFonts w:ascii="Arial" w:hAnsi="Arial" w:cs="Arial"/>
          <w:lang w:val="en-US"/>
        </w:rPr>
        <w:t xml:space="preserve">significant implications on </w:t>
      </w:r>
      <w:r w:rsidR="00525ED0">
        <w:rPr>
          <w:rFonts w:ascii="Arial" w:hAnsi="Arial" w:cs="Arial"/>
          <w:lang w:val="en-US"/>
        </w:rPr>
        <w:t xml:space="preserve">public health and </w:t>
      </w:r>
      <w:r>
        <w:rPr>
          <w:rFonts w:ascii="Arial" w:hAnsi="Arial" w:cs="Arial"/>
          <w:lang w:val="en-US"/>
        </w:rPr>
        <w:t>the pharmaceutical industry</w:t>
      </w:r>
      <w:r w:rsidR="00525ED0">
        <w:rPr>
          <w:rFonts w:ascii="Arial" w:hAnsi="Arial" w:cs="Arial"/>
          <w:lang w:val="en-US"/>
        </w:rPr>
        <w:t>’s</w:t>
      </w:r>
      <w:r>
        <w:rPr>
          <w:rFonts w:ascii="Arial" w:hAnsi="Arial" w:cs="Arial"/>
          <w:lang w:val="en-US"/>
        </w:rPr>
        <w:t xml:space="preserve"> R&amp;D investment in the EU</w:t>
      </w:r>
      <w:r w:rsidR="000326D0">
        <w:rPr>
          <w:rFonts w:ascii="Arial" w:hAnsi="Arial" w:cs="Arial"/>
          <w:lang w:val="en-US"/>
        </w:rPr>
        <w:t xml:space="preserve">. A definition </w:t>
      </w:r>
      <w:r w:rsidR="00340F43">
        <w:rPr>
          <w:rFonts w:ascii="Arial" w:hAnsi="Arial" w:cs="Arial"/>
          <w:lang w:val="en-US"/>
        </w:rPr>
        <w:t xml:space="preserve">would </w:t>
      </w:r>
      <w:r w:rsidR="000326D0">
        <w:rPr>
          <w:rFonts w:ascii="Arial" w:hAnsi="Arial" w:cs="Arial"/>
          <w:lang w:val="en-US"/>
        </w:rPr>
        <w:t xml:space="preserve">impact </w:t>
      </w:r>
      <w:r w:rsidR="00340F43">
        <w:rPr>
          <w:rFonts w:ascii="Arial" w:hAnsi="Arial" w:cs="Arial"/>
          <w:lang w:val="en-US"/>
        </w:rPr>
        <w:t xml:space="preserve">therapies </w:t>
      </w:r>
      <w:r w:rsidR="00525ED0">
        <w:rPr>
          <w:rFonts w:ascii="Arial" w:hAnsi="Arial" w:cs="Arial"/>
          <w:lang w:val="en-US"/>
        </w:rPr>
        <w:t>under development and authorized therapies by</w:t>
      </w:r>
      <w:r w:rsidR="000326D0">
        <w:rPr>
          <w:rFonts w:ascii="Arial" w:hAnsi="Arial" w:cs="Arial"/>
          <w:lang w:val="en-US"/>
        </w:rPr>
        <w:t xml:space="preserve"> shap</w:t>
      </w:r>
      <w:r w:rsidR="00525ED0">
        <w:rPr>
          <w:rFonts w:ascii="Arial" w:hAnsi="Arial" w:cs="Arial"/>
          <w:lang w:val="en-US"/>
        </w:rPr>
        <w:t>ing</w:t>
      </w:r>
      <w:r w:rsidR="00F01411">
        <w:rPr>
          <w:rFonts w:ascii="Arial" w:hAnsi="Arial" w:cs="Arial"/>
          <w:lang w:val="en-US"/>
        </w:rPr>
        <w:t xml:space="preserve"> patient access to novel therapies,</w:t>
      </w:r>
      <w:r>
        <w:rPr>
          <w:rFonts w:ascii="Arial" w:hAnsi="Arial" w:cs="Arial"/>
          <w:lang w:val="en-US"/>
        </w:rPr>
        <w:t xml:space="preserve"> the direction of </w:t>
      </w:r>
      <w:r w:rsidR="000326D0">
        <w:rPr>
          <w:rFonts w:ascii="Arial" w:hAnsi="Arial" w:cs="Arial"/>
          <w:lang w:val="en-US"/>
        </w:rPr>
        <w:t>R&amp;D</w:t>
      </w:r>
      <w:r>
        <w:rPr>
          <w:rFonts w:ascii="Arial" w:hAnsi="Arial" w:cs="Arial"/>
          <w:lang w:val="en-US"/>
        </w:rPr>
        <w:t>,</w:t>
      </w:r>
      <w:r w:rsidR="00F01411">
        <w:rPr>
          <w:rFonts w:ascii="Arial" w:hAnsi="Arial" w:cs="Arial"/>
          <w:lang w:val="en-US"/>
        </w:rPr>
        <w:t xml:space="preserve"> and</w:t>
      </w:r>
      <w:r>
        <w:rPr>
          <w:rFonts w:ascii="Arial" w:hAnsi="Arial" w:cs="Arial"/>
          <w:lang w:val="en-US"/>
        </w:rPr>
        <w:t xml:space="preserve"> value assessment</w:t>
      </w:r>
      <w:r w:rsidR="00525ED0">
        <w:rPr>
          <w:rFonts w:ascii="Arial" w:hAnsi="Arial" w:cs="Arial"/>
          <w:lang w:val="en-US"/>
        </w:rPr>
        <w:t xml:space="preserve"> and P&amp;R decisions</w:t>
      </w:r>
      <w:r>
        <w:rPr>
          <w:rFonts w:ascii="Arial" w:hAnsi="Arial" w:cs="Arial"/>
          <w:lang w:val="en-US"/>
        </w:rPr>
        <w:t xml:space="preserve">. </w:t>
      </w:r>
    </w:p>
    <w:p w14:paraId="6F7F0E68" w14:textId="2D75D1DE" w:rsidR="0053089D" w:rsidRPr="005E5C20" w:rsidRDefault="0053089D" w:rsidP="00366233">
      <w:pPr>
        <w:jc w:val="both"/>
        <w:rPr>
          <w:rFonts w:ascii="Arial" w:hAnsi="Arial" w:cs="Arial"/>
          <w:i/>
          <w:iCs/>
          <w:u w:val="single"/>
        </w:rPr>
      </w:pPr>
      <w:r w:rsidRPr="005E5C20">
        <w:rPr>
          <w:rFonts w:ascii="Arial" w:hAnsi="Arial" w:cs="Arial"/>
          <w:i/>
          <w:iCs/>
          <w:u w:val="single"/>
        </w:rPr>
        <w:t>Tension between science and research and UMN definitions</w:t>
      </w:r>
    </w:p>
    <w:p w14:paraId="78589A99" w14:textId="4B85DB61" w:rsidR="0053089D" w:rsidRDefault="0053089D" w:rsidP="0053089D">
      <w:pPr>
        <w:jc w:val="both"/>
        <w:rPr>
          <w:rFonts w:ascii="Arial" w:hAnsi="Arial" w:cs="Arial"/>
        </w:rPr>
      </w:pPr>
      <w:r>
        <w:rPr>
          <w:rFonts w:ascii="Arial" w:hAnsi="Arial" w:cs="Arial"/>
        </w:rPr>
        <w:t>The fundamental challenge in developing novel therapies in the context of rare diseases (as well as other lesser understood chronic disease areas including neurology) is the lack of knowledge or understanding of the conditions. This can be due to the rarity</w:t>
      </w:r>
      <w:r w:rsidR="00A57221">
        <w:rPr>
          <w:rFonts w:ascii="Arial" w:hAnsi="Arial" w:cs="Arial"/>
        </w:rPr>
        <w:t>, mortality</w:t>
      </w:r>
      <w:r>
        <w:rPr>
          <w:rFonts w:ascii="Arial" w:hAnsi="Arial" w:cs="Arial"/>
        </w:rPr>
        <w:t>, limited understanding of or complexity of human genetics and the biological processes in question, meaning there is insufficient understanding of the disease, its drivers, and how to provide symptomatic relief or appropriate treatment.</w:t>
      </w:r>
    </w:p>
    <w:p w14:paraId="418FEE7F" w14:textId="09D14A64" w:rsidR="006B57C3" w:rsidRDefault="0053089D" w:rsidP="006B57C3">
      <w:pPr>
        <w:jc w:val="both"/>
        <w:rPr>
          <w:rFonts w:ascii="Arial" w:hAnsi="Arial" w:cs="Arial"/>
        </w:rPr>
      </w:pPr>
      <w:r>
        <w:rPr>
          <w:rFonts w:ascii="Arial" w:hAnsi="Arial" w:cs="Arial"/>
        </w:rPr>
        <w:t>The development of a novel therapy takes on average 10 years</w:t>
      </w:r>
      <w:r>
        <w:rPr>
          <w:rStyle w:val="FootnoteReference"/>
          <w:rFonts w:ascii="Arial" w:hAnsi="Arial" w:cs="Arial"/>
        </w:rPr>
        <w:footnoteReference w:id="5"/>
      </w:r>
      <w:r w:rsidRPr="00F93A62">
        <w:rPr>
          <w:rFonts w:ascii="Arial" w:hAnsi="Arial" w:cs="Arial"/>
          <w:vertAlign w:val="superscript"/>
        </w:rPr>
        <w:t>,</w:t>
      </w:r>
      <w:r>
        <w:rPr>
          <w:rStyle w:val="FootnoteReference"/>
          <w:rFonts w:ascii="Arial" w:hAnsi="Arial" w:cs="Arial"/>
        </w:rPr>
        <w:footnoteReference w:id="6"/>
      </w:r>
      <w:r>
        <w:rPr>
          <w:rFonts w:ascii="Arial" w:hAnsi="Arial" w:cs="Arial"/>
        </w:rPr>
        <w:t>, excluding the basic and pre-clinical research that might be required to gain a better understanding of the disease area and modes of action of the possible intervention, which will add additional years to the development process</w:t>
      </w:r>
      <w:r w:rsidR="00B41679">
        <w:rPr>
          <w:rFonts w:ascii="Arial" w:hAnsi="Arial" w:cs="Arial"/>
        </w:rPr>
        <w:t>.</w:t>
      </w:r>
      <w:r>
        <w:rPr>
          <w:rFonts w:ascii="Arial" w:hAnsi="Arial" w:cs="Arial"/>
        </w:rPr>
        <w:t xml:space="preserve"> </w:t>
      </w:r>
      <w:r w:rsidRPr="00CD4D3C">
        <w:rPr>
          <w:rFonts w:ascii="Arial" w:hAnsi="Arial" w:cs="Arial"/>
          <w:b/>
          <w:bCs/>
        </w:rPr>
        <w:t xml:space="preserve">The combination of </w:t>
      </w:r>
      <w:r w:rsidR="00B41679">
        <w:rPr>
          <w:rFonts w:ascii="Arial" w:hAnsi="Arial" w:cs="Arial"/>
          <w:b/>
          <w:bCs/>
        </w:rPr>
        <w:t xml:space="preserve">new technologies emerging over time that were previously out of reach </w:t>
      </w:r>
      <w:r w:rsidRPr="00CD4D3C">
        <w:rPr>
          <w:rFonts w:ascii="Arial" w:hAnsi="Arial" w:cs="Arial"/>
          <w:b/>
          <w:bCs/>
        </w:rPr>
        <w:t>and</w:t>
      </w:r>
      <w:r>
        <w:rPr>
          <w:rFonts w:ascii="Arial" w:hAnsi="Arial" w:cs="Arial"/>
          <w:b/>
          <w:bCs/>
        </w:rPr>
        <w:t xml:space="preserve"> a</w:t>
      </w:r>
      <w:r w:rsidRPr="00CD4D3C">
        <w:rPr>
          <w:rFonts w:ascii="Arial" w:hAnsi="Arial" w:cs="Arial"/>
          <w:b/>
          <w:bCs/>
        </w:rPr>
        <w:t xml:space="preserve"> long</w:t>
      </w:r>
      <w:r w:rsidR="00FD3FF5">
        <w:rPr>
          <w:rFonts w:ascii="Arial" w:hAnsi="Arial" w:cs="Arial"/>
          <w:b/>
          <w:bCs/>
        </w:rPr>
        <w:t xml:space="preserve"> development </w:t>
      </w:r>
      <w:r w:rsidR="00FD3FF5">
        <w:rPr>
          <w:rFonts w:ascii="Arial" w:hAnsi="Arial" w:cs="Arial"/>
          <w:b/>
          <w:bCs/>
        </w:rPr>
        <w:lastRenderedPageBreak/>
        <w:t xml:space="preserve">timeline for </w:t>
      </w:r>
      <w:r w:rsidRPr="00CD4D3C">
        <w:rPr>
          <w:rFonts w:ascii="Arial" w:hAnsi="Arial" w:cs="Arial"/>
          <w:b/>
          <w:bCs/>
        </w:rPr>
        <w:t xml:space="preserve">novel therapies will make it difficult for policies around UMN to respond </w:t>
      </w:r>
      <w:r>
        <w:rPr>
          <w:rFonts w:ascii="Arial" w:hAnsi="Arial" w:cs="Arial"/>
          <w:b/>
          <w:bCs/>
        </w:rPr>
        <w:t xml:space="preserve">appropriately </w:t>
      </w:r>
      <w:r w:rsidRPr="00CD4D3C">
        <w:rPr>
          <w:rFonts w:ascii="Arial" w:hAnsi="Arial" w:cs="Arial"/>
          <w:b/>
          <w:bCs/>
        </w:rPr>
        <w:t xml:space="preserve">to drive research where it is </w:t>
      </w:r>
      <w:r>
        <w:rPr>
          <w:rFonts w:ascii="Arial" w:hAnsi="Arial" w:cs="Arial"/>
          <w:b/>
          <w:bCs/>
        </w:rPr>
        <w:t xml:space="preserve">urgently </w:t>
      </w:r>
      <w:r w:rsidRPr="00CD4D3C">
        <w:rPr>
          <w:rFonts w:ascii="Arial" w:hAnsi="Arial" w:cs="Arial"/>
          <w:b/>
          <w:bCs/>
        </w:rPr>
        <w:t>needed without</w:t>
      </w:r>
      <w:r>
        <w:rPr>
          <w:rFonts w:ascii="Arial" w:hAnsi="Arial" w:cs="Arial"/>
          <w:b/>
          <w:bCs/>
        </w:rPr>
        <w:t xml:space="preserve"> disincentivising research investments</w:t>
      </w:r>
      <w:r>
        <w:rPr>
          <w:rFonts w:ascii="Arial" w:hAnsi="Arial" w:cs="Arial"/>
        </w:rPr>
        <w:t xml:space="preserve">. </w:t>
      </w:r>
    </w:p>
    <w:p w14:paraId="69AF9A3D" w14:textId="77777777" w:rsidR="0053089D" w:rsidRPr="005E5C20" w:rsidRDefault="0053089D" w:rsidP="0053089D">
      <w:pPr>
        <w:jc w:val="both"/>
        <w:rPr>
          <w:i/>
          <w:iCs/>
          <w:u w:val="single"/>
          <w:lang w:val="en-US"/>
        </w:rPr>
      </w:pPr>
      <w:r w:rsidRPr="005E5C20">
        <w:rPr>
          <w:i/>
          <w:iCs/>
          <w:u w:val="single"/>
          <w:lang w:val="en-US"/>
        </w:rPr>
        <w:t>Pricing Pressures</w:t>
      </w:r>
    </w:p>
    <w:p w14:paraId="10BD0522" w14:textId="60172CA5" w:rsidR="0053089D" w:rsidRDefault="0053089D" w:rsidP="0053089D">
      <w:pPr>
        <w:jc w:val="both"/>
      </w:pPr>
      <w:r>
        <w:t>A driving factor informing a developer’s decision to commercialise a therapy is the commercial viability of the product and the existence of a business case. As outlined in the 2022 report commissioned by the Dutch Ministry of Health, t</w:t>
      </w:r>
      <w:r>
        <w:rPr>
          <w:i/>
          <w:iCs/>
        </w:rPr>
        <w:t xml:space="preserve">he financial ecosystem of pharmaceutical R&amp;D: an evidence </w:t>
      </w:r>
      <w:proofErr w:type="gramStart"/>
      <w:r>
        <w:rPr>
          <w:i/>
          <w:iCs/>
        </w:rPr>
        <w:t>base</w:t>
      </w:r>
      <w:proofErr w:type="gramEnd"/>
      <w:r>
        <w:rPr>
          <w:i/>
          <w:iCs/>
        </w:rPr>
        <w:t xml:space="preserve"> to inform further dialogue</w:t>
      </w:r>
      <w:r>
        <w:t>, in our current economic system, expected financial return ultimately determines if a product will be launched</w:t>
      </w:r>
      <w:r>
        <w:rPr>
          <w:rStyle w:val="FootnoteReference"/>
        </w:rPr>
        <w:footnoteReference w:id="7"/>
      </w:r>
      <w:r>
        <w:t xml:space="preserve">. While more effort can be made to coordinate and </w:t>
      </w:r>
      <w:r w:rsidR="00E10476">
        <w:t>signal</w:t>
      </w:r>
      <w:r>
        <w:t xml:space="preserve"> the willingness to pay from Member States, this should not be done by means of </w:t>
      </w:r>
      <w:r w:rsidR="00E816A4">
        <w:t xml:space="preserve">the </w:t>
      </w:r>
      <w:r w:rsidR="007F4A5B">
        <w:t>pharmaceutical and OMP incentives revision</w:t>
      </w:r>
      <w:r>
        <w:t xml:space="preserve">. Global price signals are an important pull factor in informing research priorities, regulatory </w:t>
      </w:r>
      <w:proofErr w:type="gramStart"/>
      <w:r>
        <w:t>submissions</w:t>
      </w:r>
      <w:proofErr w:type="gramEnd"/>
      <w:r>
        <w:t xml:space="preserve"> and product launches. If common incentives at EU level are adapted to drive research in specific directions, it risks narrowing the scope of innovation made available in the EU.</w:t>
      </w:r>
    </w:p>
    <w:p w14:paraId="3E7A9D34" w14:textId="339214E2" w:rsidR="0053089D" w:rsidRDefault="0053089D" w:rsidP="0053089D">
      <w:pPr>
        <w:jc w:val="both"/>
      </w:pPr>
      <w:r>
        <w:t>An assessment of UMN often already takes place at Member State level with national HTA bodies and payers including UMN in their own assessment criteria. This is further complicated by the fact that Member States and their assessment bodies can interpret UMN differently. The v</w:t>
      </w:r>
      <w:r w:rsidRPr="006112C0">
        <w:t>arying interpretations of UMN</w:t>
      </w:r>
      <w:r>
        <w:t xml:space="preserve"> at EU and Member State level</w:t>
      </w:r>
      <w:r w:rsidRPr="006112C0">
        <w:t xml:space="preserve"> already create </w:t>
      </w:r>
      <w:r>
        <w:t>barriers</w:t>
      </w:r>
      <w:r w:rsidRPr="006112C0">
        <w:t xml:space="preserve"> for developers in the current system (</w:t>
      </w:r>
      <w:proofErr w:type="gramStart"/>
      <w:r w:rsidRPr="006112C0">
        <w:t>e.g.</w:t>
      </w:r>
      <w:proofErr w:type="gramEnd"/>
      <w:r w:rsidRPr="006112C0">
        <w:t xml:space="preserve"> products that receive CMA can face hurdles to demonstrate they address an unmet need at P&amp;R stage)</w:t>
      </w:r>
      <w:r>
        <w:t>.</w:t>
      </w:r>
      <w:r w:rsidRPr="006112C0">
        <w:t xml:space="preserve"> A definition in EU legislation could lead to a situation where UMN is assessed at least twice</w:t>
      </w:r>
      <w:r>
        <w:t>,</w:t>
      </w:r>
      <w:r w:rsidRPr="006112C0">
        <w:t xml:space="preserve"> at EU and National level</w:t>
      </w:r>
      <w:r>
        <w:t>,</w:t>
      </w:r>
      <w:r w:rsidRPr="006112C0">
        <w:t xml:space="preserve"> or even a third time through the EU HTA</w:t>
      </w:r>
      <w:r>
        <w:t xml:space="preserve"> process. </w:t>
      </w:r>
      <w:r w:rsidR="00890B2B">
        <w:t>Such an approach</w:t>
      </w:r>
      <w:r>
        <w:t xml:space="preserve"> would have the effect of creating a list of indications for which therapies are less likely to be developed as they are signalled to be less commercially viable.</w:t>
      </w:r>
    </w:p>
    <w:p w14:paraId="00EDA20C" w14:textId="77777777" w:rsidR="0053089D" w:rsidRDefault="0053089D" w:rsidP="0053089D">
      <w:pPr>
        <w:jc w:val="both"/>
      </w:pPr>
      <w:r>
        <w:t>Rather than magnifying the impact of pricing considerations in driving R&amp;D decisions, which can discourage R&amp;D in other important areas, more coordinated pricing signposting and dialogue with industry through horizon scanning programmes should be pursued. This will allow Member States to articulate priorities to developers at early stages, while continuing to encourage innovation in a broader range of indications.</w:t>
      </w:r>
    </w:p>
    <w:p w14:paraId="39A29666" w14:textId="33E7333F" w:rsidR="00047788" w:rsidRPr="00FB1ABD" w:rsidRDefault="00AB0E6B" w:rsidP="005B6E20">
      <w:pPr>
        <w:jc w:val="both"/>
        <w:rPr>
          <w:i/>
          <w:iCs/>
          <w:u w:val="single"/>
        </w:rPr>
      </w:pPr>
      <w:r>
        <w:rPr>
          <w:i/>
          <w:iCs/>
          <w:u w:val="single"/>
        </w:rPr>
        <w:t>Application of UMN in the EU context</w:t>
      </w:r>
    </w:p>
    <w:p w14:paraId="0CB07098" w14:textId="4659A5D4" w:rsidR="000E6DE5" w:rsidRDefault="000E6DE5" w:rsidP="000E6DE5">
      <w:pPr>
        <w:jc w:val="both"/>
        <w:rPr>
          <w:rFonts w:ascii="Arial" w:hAnsi="Arial" w:cs="Arial"/>
        </w:rPr>
      </w:pPr>
      <w:r>
        <w:rPr>
          <w:rFonts w:ascii="Arial" w:hAnsi="Arial" w:cs="Arial"/>
        </w:rPr>
        <w:t>A narrow</w:t>
      </w:r>
      <w:r w:rsidR="00D725B4">
        <w:rPr>
          <w:rFonts w:ascii="Arial" w:hAnsi="Arial" w:cs="Arial"/>
        </w:rPr>
        <w:t>er</w:t>
      </w:r>
      <w:r>
        <w:rPr>
          <w:rFonts w:ascii="Arial" w:hAnsi="Arial" w:cs="Arial"/>
        </w:rPr>
        <w:t xml:space="preserve"> interpretation of UMN at </w:t>
      </w:r>
      <w:r w:rsidR="00D725B4">
        <w:rPr>
          <w:rFonts w:ascii="Arial" w:hAnsi="Arial" w:cs="Arial"/>
        </w:rPr>
        <w:t xml:space="preserve">EU </w:t>
      </w:r>
      <w:r>
        <w:rPr>
          <w:rFonts w:ascii="Arial" w:hAnsi="Arial" w:cs="Arial"/>
        </w:rPr>
        <w:t>level is not needed</w:t>
      </w:r>
      <w:r w:rsidR="00162999">
        <w:rPr>
          <w:rFonts w:ascii="Arial" w:hAnsi="Arial" w:cs="Arial"/>
        </w:rPr>
        <w:t xml:space="preserve"> to direct innovation</w:t>
      </w:r>
      <w:r w:rsidR="0097334D">
        <w:rPr>
          <w:rFonts w:ascii="Arial" w:hAnsi="Arial" w:cs="Arial"/>
        </w:rPr>
        <w:t>,</w:t>
      </w:r>
      <w:r>
        <w:rPr>
          <w:rFonts w:ascii="Arial" w:hAnsi="Arial" w:cs="Arial"/>
        </w:rPr>
        <w:t xml:space="preserve"> as the concept of UMN already exist</w:t>
      </w:r>
      <w:r w:rsidR="000A5577">
        <w:rPr>
          <w:rFonts w:ascii="Arial" w:hAnsi="Arial" w:cs="Arial"/>
        </w:rPr>
        <w:t>s</w:t>
      </w:r>
      <w:r>
        <w:rPr>
          <w:rFonts w:ascii="Arial" w:hAnsi="Arial" w:cs="Arial"/>
        </w:rPr>
        <w:t xml:space="preserve"> in the EU’s legislative framework</w:t>
      </w:r>
      <w:r w:rsidR="008B7253">
        <w:rPr>
          <w:rFonts w:ascii="Arial" w:hAnsi="Arial" w:cs="Arial"/>
        </w:rPr>
        <w:t xml:space="preserve"> (see </w:t>
      </w:r>
      <w:r w:rsidR="00DD37E2">
        <w:rPr>
          <w:rFonts w:ascii="Arial" w:hAnsi="Arial" w:cs="Arial"/>
        </w:rPr>
        <w:t>annex 1</w:t>
      </w:r>
      <w:r w:rsidR="008B7253">
        <w:rPr>
          <w:rFonts w:ascii="Arial" w:hAnsi="Arial" w:cs="Arial"/>
        </w:rPr>
        <w:t>)</w:t>
      </w:r>
      <w:r>
        <w:rPr>
          <w:rFonts w:ascii="Arial" w:hAnsi="Arial" w:cs="Arial"/>
        </w:rPr>
        <w:t>.</w:t>
      </w:r>
      <w:r w:rsidR="00773BD9">
        <w:rPr>
          <w:rFonts w:ascii="Arial" w:hAnsi="Arial" w:cs="Arial"/>
        </w:rPr>
        <w:t xml:space="preserve"> </w:t>
      </w:r>
      <w:r w:rsidR="002C538A">
        <w:rPr>
          <w:rFonts w:ascii="Arial" w:hAnsi="Arial" w:cs="Arial"/>
        </w:rPr>
        <w:t xml:space="preserve">Recognising </w:t>
      </w:r>
      <w:r w:rsidR="00773BD9">
        <w:rPr>
          <w:rFonts w:ascii="Arial" w:hAnsi="Arial" w:cs="Arial"/>
        </w:rPr>
        <w:t>the fact that there are different drivers of UMN, the EU’s legislative framework</w:t>
      </w:r>
      <w:r w:rsidR="002C538A">
        <w:rPr>
          <w:rFonts w:ascii="Arial" w:hAnsi="Arial" w:cs="Arial"/>
        </w:rPr>
        <w:t xml:space="preserve"> has established different pathways and </w:t>
      </w:r>
      <w:r w:rsidR="003C7E70">
        <w:rPr>
          <w:rFonts w:ascii="Arial" w:hAnsi="Arial" w:cs="Arial"/>
        </w:rPr>
        <w:t xml:space="preserve">incentives to drive innovation </w:t>
      </w:r>
      <w:r>
        <w:rPr>
          <w:rFonts w:ascii="Arial" w:hAnsi="Arial" w:cs="Arial"/>
        </w:rPr>
        <w:t xml:space="preserve">and </w:t>
      </w:r>
      <w:r w:rsidR="00C1101F">
        <w:rPr>
          <w:rFonts w:ascii="Arial" w:hAnsi="Arial" w:cs="Arial"/>
        </w:rPr>
        <w:t>t</w:t>
      </w:r>
      <w:r>
        <w:rPr>
          <w:rFonts w:ascii="Arial" w:hAnsi="Arial" w:cs="Arial"/>
        </w:rPr>
        <w:t>his diversity and inherent flexibility</w:t>
      </w:r>
      <w:r w:rsidR="00C1101F">
        <w:rPr>
          <w:rFonts w:ascii="Arial" w:hAnsi="Arial" w:cs="Arial"/>
        </w:rPr>
        <w:t xml:space="preserve"> needs to remain </w:t>
      </w:r>
      <w:r>
        <w:rPr>
          <w:rFonts w:ascii="Arial" w:hAnsi="Arial" w:cs="Arial"/>
        </w:rPr>
        <w:t xml:space="preserve">in the system. </w:t>
      </w:r>
    </w:p>
    <w:p w14:paraId="53B5C587" w14:textId="74189061" w:rsidR="003E7E22" w:rsidRDefault="000E6DE5" w:rsidP="000E6DE5">
      <w:pPr>
        <w:jc w:val="both"/>
        <w:rPr>
          <w:rFonts w:ascii="Arial" w:hAnsi="Arial" w:cs="Arial"/>
        </w:rPr>
      </w:pPr>
      <w:r>
        <w:rPr>
          <w:rFonts w:ascii="Arial" w:hAnsi="Arial" w:cs="Arial"/>
        </w:rPr>
        <w:lastRenderedPageBreak/>
        <w:t xml:space="preserve">The </w:t>
      </w:r>
      <w:r w:rsidR="008B7253">
        <w:rPr>
          <w:rFonts w:ascii="Arial" w:hAnsi="Arial" w:cs="Arial"/>
        </w:rPr>
        <w:t xml:space="preserve">different </w:t>
      </w:r>
      <w:r w:rsidR="00890B2B">
        <w:rPr>
          <w:rFonts w:ascii="Arial" w:hAnsi="Arial" w:cs="Arial"/>
        </w:rPr>
        <w:t xml:space="preserve">interpretations </w:t>
      </w:r>
      <w:r>
        <w:rPr>
          <w:rFonts w:ascii="Arial" w:hAnsi="Arial" w:cs="Arial"/>
        </w:rPr>
        <w:t>touch on concept</w:t>
      </w:r>
      <w:r w:rsidR="00A16CB5">
        <w:rPr>
          <w:rFonts w:ascii="Arial" w:hAnsi="Arial" w:cs="Arial"/>
        </w:rPr>
        <w:t>s</w:t>
      </w:r>
      <w:r>
        <w:rPr>
          <w:rFonts w:ascii="Arial" w:hAnsi="Arial" w:cs="Arial"/>
        </w:rPr>
        <w:t xml:space="preserve"> ranging from population size to diseases severity and availability of authorised therapeutic options.</w:t>
      </w:r>
      <w:r w:rsidR="000A46CC">
        <w:rPr>
          <w:rFonts w:ascii="Arial" w:hAnsi="Arial" w:cs="Arial"/>
        </w:rPr>
        <w:t xml:space="preserve"> T</w:t>
      </w:r>
      <w:r>
        <w:rPr>
          <w:rFonts w:ascii="Arial" w:hAnsi="Arial" w:cs="Arial"/>
        </w:rPr>
        <w:t xml:space="preserve">he review of the pharmaceutical </w:t>
      </w:r>
      <w:r w:rsidR="005202DD">
        <w:rPr>
          <w:rFonts w:ascii="Arial" w:hAnsi="Arial" w:cs="Arial"/>
        </w:rPr>
        <w:t>legislation</w:t>
      </w:r>
      <w:r>
        <w:rPr>
          <w:rFonts w:ascii="Arial" w:hAnsi="Arial" w:cs="Arial"/>
        </w:rPr>
        <w:t xml:space="preserve"> should build</w:t>
      </w:r>
      <w:r w:rsidR="00800833">
        <w:rPr>
          <w:rFonts w:ascii="Arial" w:hAnsi="Arial" w:cs="Arial"/>
        </w:rPr>
        <w:t xml:space="preserve"> on</w:t>
      </w:r>
      <w:r>
        <w:rPr>
          <w:rFonts w:ascii="Arial" w:hAnsi="Arial" w:cs="Arial"/>
        </w:rPr>
        <w:t xml:space="preserve"> and maintain the scope of the existing legislative tools in identifying </w:t>
      </w:r>
      <w:r w:rsidR="00FB6C06">
        <w:rPr>
          <w:rFonts w:ascii="Arial" w:hAnsi="Arial" w:cs="Arial"/>
        </w:rPr>
        <w:t>UMNs</w:t>
      </w:r>
      <w:r>
        <w:rPr>
          <w:rFonts w:ascii="Arial" w:hAnsi="Arial" w:cs="Arial"/>
        </w:rPr>
        <w:t>.</w:t>
      </w:r>
      <w:r w:rsidR="008B7253">
        <w:rPr>
          <w:rFonts w:ascii="Arial" w:hAnsi="Arial" w:cs="Arial"/>
        </w:rPr>
        <w:t xml:space="preserve"> </w:t>
      </w:r>
    </w:p>
    <w:p w14:paraId="6B98C2AD" w14:textId="39A774FE" w:rsidR="00D05859" w:rsidRDefault="00D05859" w:rsidP="00E10476">
      <w:pPr>
        <w:jc w:val="both"/>
        <w:rPr>
          <w:rFonts w:ascii="Arial" w:hAnsi="Arial" w:cs="Arial"/>
          <w:b/>
          <w:bCs/>
          <w:lang w:val="en-US"/>
        </w:rPr>
      </w:pPr>
      <w:r>
        <w:rPr>
          <w:rFonts w:ascii="Arial" w:hAnsi="Arial" w:cs="Arial"/>
          <w:b/>
          <w:bCs/>
          <w:lang w:val="en-US"/>
        </w:rPr>
        <w:t>RECOMMENDATION</w:t>
      </w:r>
      <w:r w:rsidRPr="00047788">
        <w:rPr>
          <w:rFonts w:ascii="Arial" w:hAnsi="Arial" w:cs="Arial"/>
          <w:b/>
          <w:bCs/>
          <w:lang w:val="en-US"/>
        </w:rPr>
        <w:t xml:space="preserve"> </w:t>
      </w:r>
      <w:r>
        <w:rPr>
          <w:rFonts w:ascii="Arial" w:hAnsi="Arial" w:cs="Arial"/>
          <w:b/>
          <w:bCs/>
          <w:lang w:val="en-US"/>
        </w:rPr>
        <w:t>3:</w:t>
      </w:r>
      <w:r>
        <w:rPr>
          <w:rFonts w:ascii="Arial" w:hAnsi="Arial" w:cs="Arial"/>
          <w:lang w:val="en-US"/>
        </w:rPr>
        <w:t xml:space="preserve"> </w:t>
      </w:r>
      <w:r w:rsidRPr="00B41679">
        <w:rPr>
          <w:rFonts w:ascii="Arial" w:hAnsi="Arial" w:cs="Arial"/>
          <w:b/>
          <w:bCs/>
          <w:lang w:val="en-US"/>
        </w:rPr>
        <w:t>Avoid including the concept of ‘cure’ in any criteria for (H)UMN as this cannot be fully assessed at the time of marketing authorization and consider disease modifying criteria instead.</w:t>
      </w:r>
    </w:p>
    <w:p w14:paraId="6840112F" w14:textId="1BB112B6" w:rsidR="005202DD" w:rsidRDefault="005202DD" w:rsidP="00B21DE6">
      <w:pPr>
        <w:jc w:val="both"/>
      </w:pPr>
      <w:r w:rsidRPr="001D0327">
        <w:rPr>
          <w:i/>
          <w:iCs/>
          <w:u w:val="single"/>
        </w:rPr>
        <w:t>Concept of ‘cure’ should not be included in a common understanding of UMN</w:t>
      </w:r>
    </w:p>
    <w:p w14:paraId="5E714DB9" w14:textId="38CDC3B4" w:rsidR="00D05859" w:rsidRDefault="00D05859" w:rsidP="00D05859">
      <w:pPr>
        <w:jc w:val="both"/>
      </w:pPr>
      <w:r w:rsidRPr="00021282">
        <w:t>When discussing</w:t>
      </w:r>
      <w:r>
        <w:t xml:space="preserve"> </w:t>
      </w:r>
      <w:r w:rsidRPr="00021282">
        <w:t>innovation</w:t>
      </w:r>
      <w:r>
        <w:t xml:space="preserve"> and different levels of unmet need</w:t>
      </w:r>
      <w:r w:rsidRPr="00021282">
        <w:t xml:space="preserve">, it is </w:t>
      </w:r>
      <w:r>
        <w:t>important</w:t>
      </w:r>
      <w:r w:rsidRPr="00021282">
        <w:t xml:space="preserve"> to consider </w:t>
      </w:r>
      <w:r>
        <w:t xml:space="preserve">breakthrough innovation, as well as other elements, including </w:t>
      </w:r>
      <w:r w:rsidRPr="0053663E">
        <w:rPr>
          <w:b/>
          <w:bCs/>
        </w:rPr>
        <w:t>incremental innovation</w:t>
      </w:r>
      <w:r w:rsidRPr="00021282">
        <w:t xml:space="preserve">. </w:t>
      </w:r>
      <w:r w:rsidRPr="008159AF">
        <w:t xml:space="preserve">While there have been huge </w:t>
      </w:r>
      <w:r>
        <w:t xml:space="preserve">advances </w:t>
      </w:r>
      <w:r w:rsidRPr="008159AF">
        <w:t>in science that effectively eradicated previously incurable diseases and</w:t>
      </w:r>
      <w:r>
        <w:t xml:space="preserve"> this</w:t>
      </w:r>
      <w:r w:rsidRPr="008159AF">
        <w:t xml:space="preserve"> </w:t>
      </w:r>
      <w:r>
        <w:t>scientific progress continues</w:t>
      </w:r>
      <w:r w:rsidRPr="008159AF">
        <w:t xml:space="preserve">, </w:t>
      </w:r>
      <w:r w:rsidRPr="008159AF">
        <w:rPr>
          <w:b/>
          <w:bCs/>
        </w:rPr>
        <w:t>t</w:t>
      </w:r>
      <w:r w:rsidRPr="00021282">
        <w:rPr>
          <w:b/>
          <w:bCs/>
        </w:rPr>
        <w:t xml:space="preserve">here is a significant danger </w:t>
      </w:r>
      <w:r>
        <w:rPr>
          <w:b/>
          <w:bCs/>
        </w:rPr>
        <w:t>in</w:t>
      </w:r>
      <w:r w:rsidR="00FD3FF5">
        <w:rPr>
          <w:b/>
          <w:bCs/>
        </w:rPr>
        <w:t xml:space="preserve"> referring to</w:t>
      </w:r>
      <w:r w:rsidRPr="00021282">
        <w:rPr>
          <w:b/>
          <w:bCs/>
        </w:rPr>
        <w:t xml:space="preserve"> concepts such as ‘cure’ in a definition of UMN</w:t>
      </w:r>
      <w:r w:rsidRPr="00021282">
        <w:t xml:space="preserve">. </w:t>
      </w:r>
      <w:r>
        <w:t>I</w:t>
      </w:r>
      <w:r w:rsidRPr="00021282">
        <w:t xml:space="preserve">mprovements in symptomatic treatment can have major benefits for patients. </w:t>
      </w:r>
    </w:p>
    <w:p w14:paraId="3BBF9B2F" w14:textId="749421D2" w:rsidR="00D05859" w:rsidRPr="00021282" w:rsidRDefault="00D05859" w:rsidP="00D05859">
      <w:pPr>
        <w:jc w:val="both"/>
      </w:pPr>
      <w:r>
        <w:t>T</w:t>
      </w:r>
      <w:r w:rsidRPr="00021282">
        <w:t xml:space="preserve">he concept of </w:t>
      </w:r>
      <w:r>
        <w:t xml:space="preserve">‘cure’ or </w:t>
      </w:r>
      <w:r w:rsidRPr="00021282">
        <w:t xml:space="preserve">‘curative’ is hard to </w:t>
      </w:r>
      <w:proofErr w:type="gramStart"/>
      <w:r w:rsidRPr="00021282">
        <w:t>quantify, and</w:t>
      </w:r>
      <w:proofErr w:type="gramEnd"/>
      <w:r w:rsidRPr="00021282">
        <w:t xml:space="preserve"> is often built on continued and step-wise research. Few to no therapies</w:t>
      </w:r>
      <w:r>
        <w:t xml:space="preserve"> for chronic conditions</w:t>
      </w:r>
      <w:r w:rsidRPr="00021282">
        <w:t xml:space="preserve"> are currently curative, and it would be</w:t>
      </w:r>
      <w:r w:rsidR="00FD3FF5">
        <w:t xml:space="preserve"> infeasible</w:t>
      </w:r>
      <w:r w:rsidRPr="00021282">
        <w:t xml:space="preserve"> to conclusively demonstrate the curative nature of a treatment to the levels required by payers and HTA bodies</w:t>
      </w:r>
      <w:r w:rsidR="00FD3FF5">
        <w:t xml:space="preserve"> before Marketing Authorisation. C</w:t>
      </w:r>
      <w:r w:rsidRPr="00021282">
        <w:t>hallenges</w:t>
      </w:r>
      <w:r w:rsidR="00FD3FF5">
        <w:t xml:space="preserve"> already exist in </w:t>
      </w:r>
      <w:r>
        <w:t>adapting their assessment methods and pricing models to reflect</w:t>
      </w:r>
      <w:r w:rsidRPr="00021282">
        <w:t xml:space="preserve"> the long-term benefits of novel therapies such as cell and gene therapies due to the</w:t>
      </w:r>
      <w:r>
        <w:t>ir</w:t>
      </w:r>
      <w:r w:rsidRPr="00021282">
        <w:t xml:space="preserve"> inherent data uncertainties.</w:t>
      </w:r>
      <w:r>
        <w:t xml:space="preserve"> While post-authorisation evidence collection is key,</w:t>
      </w:r>
      <w:r w:rsidRPr="00021282">
        <w:t xml:space="preserve"> </w:t>
      </w:r>
      <w:r>
        <w:t>i</w:t>
      </w:r>
      <w:r w:rsidRPr="00021282">
        <w:t>t would be</w:t>
      </w:r>
      <w:r w:rsidR="00FD3FF5">
        <w:t xml:space="preserve"> unrealistic to follow a patient for the duration of their </w:t>
      </w:r>
      <w:r w:rsidRPr="00021282">
        <w:t>life</w:t>
      </w:r>
      <w:r>
        <w:t xml:space="preserve"> before submitting a Marketing Authorisation</w:t>
      </w:r>
      <w:r w:rsidRPr="00021282">
        <w:t xml:space="preserve"> </w:t>
      </w:r>
      <w:proofErr w:type="gramStart"/>
      <w:r w:rsidRPr="00021282">
        <w:t>in order to</w:t>
      </w:r>
      <w:proofErr w:type="gramEnd"/>
      <w:r w:rsidRPr="00021282">
        <w:t xml:space="preserve"> establish a possible ‘curative’ nature of a therapy to the satisfaction of</w:t>
      </w:r>
      <w:r>
        <w:t xml:space="preserve"> regulators, payers, and HTA bodies</w:t>
      </w:r>
      <w:r w:rsidRPr="00021282">
        <w:rPr>
          <w:rStyle w:val="FootnoteReference"/>
        </w:rPr>
        <w:footnoteReference w:id="8"/>
      </w:r>
      <w:r w:rsidRPr="00021282">
        <w:t>.</w:t>
      </w:r>
    </w:p>
    <w:p w14:paraId="40B11FE8" w14:textId="751518DC" w:rsidR="00D05859" w:rsidRDefault="00D05859" w:rsidP="00D05859">
      <w:pPr>
        <w:jc w:val="both"/>
      </w:pPr>
      <w:r>
        <w:t>The development of a hypothetical ‘curative’ therapy or a treatment with a curative potential, does not happen as an immediate and logical consequence of developing a symptomatic treatment. Significant and continued investment and research is needed to continue</w:t>
      </w:r>
      <w:r w:rsidR="004E756C">
        <w:t xml:space="preserve"> to improve health outcomes</w:t>
      </w:r>
      <w:r>
        <w:t xml:space="preserve"> and expanding our understanding of disease areas. This continued innovation must not be discouraged or disincentivized.</w:t>
      </w:r>
      <w:r w:rsidRPr="009216B1">
        <w:t xml:space="preserve"> </w:t>
      </w:r>
      <w:r>
        <w:t>A perverse incentive and focus on ‘cures’ without considering all the intermediary research risks undermining the Commission’s aim and fails to recognise the reality of medical innovation.</w:t>
      </w:r>
    </w:p>
    <w:p w14:paraId="6621EC35" w14:textId="77777777" w:rsidR="00D05859" w:rsidRDefault="00D05859" w:rsidP="00D05859">
      <w:pPr>
        <w:jc w:val="both"/>
      </w:pPr>
      <w:commentRangeStart w:id="1"/>
      <w:r>
        <w:t>Several important breakthroughs have taken place over the past two decades, such as the development and launch of transformative cell and gene therapies, and the fastest ever development and commercialisation of a vaccine in response to the COVID pandemic</w:t>
      </w:r>
      <w:r>
        <w:rPr>
          <w:rStyle w:val="FootnoteReference"/>
        </w:rPr>
        <w:footnoteReference w:id="9"/>
      </w:r>
      <w:r>
        <w:t xml:space="preserve">. However, these developments built on the research and accomplishments of previous endeavours. The </w:t>
      </w:r>
      <w:r w:rsidRPr="00EA5E66">
        <w:rPr>
          <w:b/>
          <w:bCs/>
        </w:rPr>
        <w:t xml:space="preserve">development of novel therapies is stepwise and </w:t>
      </w:r>
      <w:r>
        <w:rPr>
          <w:b/>
          <w:bCs/>
        </w:rPr>
        <w:t>incremental</w:t>
      </w:r>
      <w:r>
        <w:t xml:space="preserve">. The work and research in the area of liquid </w:t>
      </w:r>
      <w:proofErr w:type="gramStart"/>
      <w:r>
        <w:t>nano-particles</w:t>
      </w:r>
      <w:proofErr w:type="gramEnd"/>
      <w:r>
        <w:t xml:space="preserve"> (LNP) over the past </w:t>
      </w:r>
      <w:r>
        <w:lastRenderedPageBreak/>
        <w:t>decade played a key role in the development of mRNA vaccines in response to the COVID-19 pandemic. Building on mRNA and years of scientific research in other fields, governments and research are now aiming to develop vaccines to new COVID-19 strains or future pandemics within 100 days</w:t>
      </w:r>
      <w:r>
        <w:rPr>
          <w:rStyle w:val="FootnoteReference"/>
        </w:rPr>
        <w:footnoteReference w:id="10"/>
      </w:r>
      <w:r>
        <w:t xml:space="preserve">. This incredible response is possible due to years of research, some of which might not have had a direct link to vaccine development initially. </w:t>
      </w:r>
      <w:commentRangeEnd w:id="1"/>
      <w:r>
        <w:rPr>
          <w:rStyle w:val="CommentReference"/>
        </w:rPr>
        <w:commentReference w:id="1"/>
      </w:r>
    </w:p>
    <w:p w14:paraId="3F39BF5E" w14:textId="2F5D9F50" w:rsidR="00BA7010" w:rsidRPr="00BA7010" w:rsidRDefault="00BA7010" w:rsidP="000E6DE5">
      <w:pPr>
        <w:jc w:val="both"/>
        <w:rPr>
          <w:rFonts w:ascii="Arial" w:hAnsi="Arial" w:cs="Arial"/>
          <w:b/>
          <w:bCs/>
        </w:rPr>
      </w:pPr>
    </w:p>
    <w:p w14:paraId="76EB77CA" w14:textId="03A9E89D" w:rsidR="00F1511B" w:rsidRPr="00407FA1" w:rsidRDefault="00AB0E6B" w:rsidP="00084A0D">
      <w:pPr>
        <w:pStyle w:val="Heading1"/>
      </w:pPr>
      <w:r>
        <w:t>4</w:t>
      </w:r>
      <w:r w:rsidR="00F1511B" w:rsidRPr="00407FA1">
        <w:t>. UMN in the orphan context</w:t>
      </w:r>
    </w:p>
    <w:p w14:paraId="03381EEE" w14:textId="77777777" w:rsidR="00AB0E6B" w:rsidRPr="00582C16" w:rsidRDefault="00AB0E6B" w:rsidP="00B21DE6">
      <w:pPr>
        <w:jc w:val="both"/>
        <w:rPr>
          <w:rFonts w:ascii="Arial" w:hAnsi="Arial" w:cs="Arial"/>
        </w:rPr>
      </w:pPr>
      <w:r>
        <w:rPr>
          <w:rFonts w:ascii="Arial" w:hAnsi="Arial" w:cs="Arial"/>
          <w:b/>
          <w:bCs/>
          <w:lang w:val="en-US"/>
        </w:rPr>
        <w:t>RECOMMENDATION</w:t>
      </w:r>
      <w:r w:rsidRPr="00C929C3">
        <w:rPr>
          <w:rFonts w:ascii="Arial" w:hAnsi="Arial" w:cs="Arial"/>
          <w:b/>
          <w:bCs/>
          <w:lang w:val="en-US"/>
        </w:rPr>
        <w:t xml:space="preserve"> </w:t>
      </w:r>
      <w:r>
        <w:rPr>
          <w:rFonts w:ascii="Arial" w:hAnsi="Arial" w:cs="Arial"/>
          <w:b/>
          <w:bCs/>
          <w:lang w:val="en-US"/>
        </w:rPr>
        <w:t>4</w:t>
      </w:r>
      <w:r w:rsidRPr="00C929C3">
        <w:rPr>
          <w:rFonts w:ascii="Arial" w:hAnsi="Arial" w:cs="Arial"/>
          <w:b/>
          <w:bCs/>
          <w:lang w:val="en-US"/>
        </w:rPr>
        <w:t>:</w:t>
      </w:r>
      <w:r>
        <w:rPr>
          <w:rFonts w:ascii="Arial" w:hAnsi="Arial" w:cs="Arial"/>
          <w:lang w:val="en-US"/>
        </w:rPr>
        <w:t xml:space="preserve"> </w:t>
      </w:r>
      <w:r w:rsidRPr="00B41679">
        <w:rPr>
          <w:rFonts w:ascii="Arial" w:hAnsi="Arial" w:cs="Arial"/>
          <w:b/>
          <w:bCs/>
          <w:lang w:val="en-US"/>
        </w:rPr>
        <w:t>Launch an EU-wide rare disease strategy to support access to and development of novel therapies, especially in the 95% of rare diseases where no therapeutic options exist.</w:t>
      </w:r>
    </w:p>
    <w:p w14:paraId="1D645E15" w14:textId="76E32540" w:rsidR="00505597" w:rsidRPr="00AB2E8D" w:rsidRDefault="00505597" w:rsidP="00407FA1">
      <w:pPr>
        <w:rPr>
          <w:rFonts w:asciiTheme="majorHAnsi" w:hAnsiTheme="majorHAnsi" w:cstheme="majorHAnsi"/>
          <w:i/>
          <w:iCs/>
          <w:u w:val="single"/>
        </w:rPr>
      </w:pPr>
      <w:r w:rsidRPr="00AB2E8D">
        <w:rPr>
          <w:rFonts w:asciiTheme="majorHAnsi" w:hAnsiTheme="majorHAnsi" w:cstheme="majorHAnsi"/>
          <w:i/>
          <w:iCs/>
          <w:u w:val="single"/>
        </w:rPr>
        <w:t>A</w:t>
      </w:r>
      <w:r w:rsidR="00B874D8" w:rsidRPr="00AB2E8D">
        <w:rPr>
          <w:rFonts w:asciiTheme="majorHAnsi" w:hAnsiTheme="majorHAnsi" w:cstheme="majorHAnsi"/>
          <w:i/>
          <w:iCs/>
          <w:u w:val="single"/>
        </w:rPr>
        <w:t xml:space="preserve"> definition of</w:t>
      </w:r>
      <w:r w:rsidRPr="00AB2E8D">
        <w:rPr>
          <w:rFonts w:asciiTheme="majorHAnsi" w:hAnsiTheme="majorHAnsi" w:cstheme="majorHAnsi"/>
          <w:i/>
          <w:iCs/>
          <w:u w:val="single"/>
        </w:rPr>
        <w:t xml:space="preserve"> highest unmet medical needs </w:t>
      </w:r>
      <w:r w:rsidR="00D742D8" w:rsidRPr="00AB2E8D">
        <w:rPr>
          <w:rFonts w:asciiTheme="majorHAnsi" w:hAnsiTheme="majorHAnsi" w:cstheme="majorHAnsi"/>
          <w:i/>
          <w:iCs/>
          <w:u w:val="single"/>
        </w:rPr>
        <w:t xml:space="preserve">would be detrimental to patients and </w:t>
      </w:r>
      <w:r w:rsidR="00CB3A90" w:rsidRPr="00AB2E8D">
        <w:rPr>
          <w:rFonts w:asciiTheme="majorHAnsi" w:hAnsiTheme="majorHAnsi" w:cstheme="majorHAnsi"/>
          <w:i/>
          <w:iCs/>
          <w:u w:val="single"/>
        </w:rPr>
        <w:t>developers</w:t>
      </w:r>
    </w:p>
    <w:p w14:paraId="74AB5CE7" w14:textId="03F1227E" w:rsidR="00632814" w:rsidRPr="00ED1C36" w:rsidRDefault="00632814" w:rsidP="00016218">
      <w:pPr>
        <w:jc w:val="both"/>
        <w:rPr>
          <w:rFonts w:asciiTheme="majorHAnsi" w:hAnsiTheme="majorHAnsi" w:cstheme="majorHAnsi"/>
        </w:rPr>
      </w:pPr>
      <w:r w:rsidRPr="00ED1C36">
        <w:rPr>
          <w:rFonts w:asciiTheme="majorHAnsi" w:hAnsiTheme="majorHAnsi" w:cstheme="majorHAnsi"/>
        </w:rPr>
        <w:t xml:space="preserve">The Orphan Medicinal Products (OMP) </w:t>
      </w:r>
      <w:r w:rsidR="00016218" w:rsidRPr="00ED1C36">
        <w:rPr>
          <w:rFonts w:asciiTheme="majorHAnsi" w:hAnsiTheme="majorHAnsi" w:cstheme="majorHAnsi"/>
        </w:rPr>
        <w:t>R</w:t>
      </w:r>
      <w:r w:rsidRPr="00ED1C36">
        <w:rPr>
          <w:rFonts w:asciiTheme="majorHAnsi" w:hAnsiTheme="majorHAnsi" w:cstheme="majorHAnsi"/>
        </w:rPr>
        <w:t xml:space="preserve">egulation has helped overcome an existing market failure and contributed to the </w:t>
      </w:r>
      <w:r w:rsidR="00294730" w:rsidRPr="00ED1C36">
        <w:rPr>
          <w:rFonts w:asciiTheme="majorHAnsi" w:hAnsiTheme="majorHAnsi" w:cstheme="majorHAnsi"/>
        </w:rPr>
        <w:t>development and authorisation of</w:t>
      </w:r>
      <w:r w:rsidRPr="00ED1C36">
        <w:rPr>
          <w:rFonts w:asciiTheme="majorHAnsi" w:hAnsiTheme="majorHAnsi" w:cstheme="majorHAnsi"/>
        </w:rPr>
        <w:t xml:space="preserve"> </w:t>
      </w:r>
      <w:r w:rsidR="00C2315F" w:rsidRPr="00ED1C36">
        <w:rPr>
          <w:rFonts w:asciiTheme="majorHAnsi" w:hAnsiTheme="majorHAnsi" w:cstheme="majorHAnsi"/>
        </w:rPr>
        <w:t xml:space="preserve">about </w:t>
      </w:r>
      <w:r w:rsidR="00C2315F" w:rsidRPr="00FB6C06">
        <w:rPr>
          <w:rFonts w:asciiTheme="majorHAnsi" w:hAnsiTheme="majorHAnsi" w:cstheme="majorHAnsi"/>
        </w:rPr>
        <w:t xml:space="preserve">200 </w:t>
      </w:r>
      <w:r w:rsidR="004E0BB4" w:rsidRPr="00FB6C06">
        <w:rPr>
          <w:rFonts w:asciiTheme="majorHAnsi" w:hAnsiTheme="majorHAnsi" w:cstheme="majorHAnsi"/>
        </w:rPr>
        <w:t>therapies</w:t>
      </w:r>
      <w:r w:rsidR="00C2315F" w:rsidRPr="00FB6C06">
        <w:rPr>
          <w:rFonts w:asciiTheme="majorHAnsi" w:hAnsiTheme="majorHAnsi" w:cstheme="majorHAnsi"/>
        </w:rPr>
        <w:t xml:space="preserve"> in </w:t>
      </w:r>
      <w:r w:rsidR="00294730" w:rsidRPr="00FB6C06">
        <w:rPr>
          <w:rFonts w:asciiTheme="majorHAnsi" w:hAnsiTheme="majorHAnsi" w:cstheme="majorHAnsi"/>
        </w:rPr>
        <w:t>the past 22 years</w:t>
      </w:r>
      <w:r w:rsidRPr="00ED1C36">
        <w:rPr>
          <w:rStyle w:val="FootnoteReference"/>
          <w:rFonts w:asciiTheme="majorHAnsi" w:hAnsiTheme="majorHAnsi" w:cstheme="majorHAnsi"/>
        </w:rPr>
        <w:footnoteReference w:id="11"/>
      </w:r>
      <w:r w:rsidRPr="00ED1C36">
        <w:rPr>
          <w:rFonts w:asciiTheme="majorHAnsi" w:hAnsiTheme="majorHAnsi" w:cstheme="majorHAnsi"/>
        </w:rPr>
        <w:t>. Despite this progress, treatments are available for only 5% of the estimated 8,000 rare diseases.</w:t>
      </w:r>
    </w:p>
    <w:p w14:paraId="60D4ED1B" w14:textId="4CD73A9A" w:rsidR="00D64899" w:rsidRDefault="00632814" w:rsidP="00016218">
      <w:pPr>
        <w:jc w:val="both"/>
        <w:rPr>
          <w:rFonts w:asciiTheme="majorHAnsi" w:hAnsiTheme="majorHAnsi" w:cstheme="majorHAnsi"/>
        </w:rPr>
      </w:pPr>
      <w:r w:rsidRPr="00ED1C36">
        <w:rPr>
          <w:rFonts w:asciiTheme="majorHAnsi" w:hAnsiTheme="majorHAnsi" w:cstheme="majorHAnsi"/>
        </w:rPr>
        <w:t xml:space="preserve">As recognised by the European Commission </w:t>
      </w:r>
      <w:r w:rsidR="00787A92">
        <w:rPr>
          <w:rFonts w:asciiTheme="majorHAnsi" w:hAnsiTheme="majorHAnsi" w:cstheme="majorHAnsi"/>
        </w:rPr>
        <w:t>o</w:t>
      </w:r>
      <w:r w:rsidRPr="00ED1C36">
        <w:rPr>
          <w:rFonts w:asciiTheme="majorHAnsi" w:hAnsiTheme="majorHAnsi" w:cstheme="majorHAnsi"/>
        </w:rPr>
        <w:t xml:space="preserve">n various instances, all orphan and paediatric </w:t>
      </w:r>
      <w:r w:rsidR="007E630A" w:rsidRPr="00ED1C36">
        <w:rPr>
          <w:rFonts w:asciiTheme="majorHAnsi" w:hAnsiTheme="majorHAnsi" w:cstheme="majorHAnsi"/>
        </w:rPr>
        <w:t>indication</w:t>
      </w:r>
      <w:r w:rsidR="002C610C">
        <w:rPr>
          <w:rFonts w:asciiTheme="majorHAnsi" w:hAnsiTheme="majorHAnsi" w:cstheme="majorHAnsi"/>
        </w:rPr>
        <w:t>s</w:t>
      </w:r>
      <w:r w:rsidR="007E630A" w:rsidRPr="00ED1C36">
        <w:rPr>
          <w:rFonts w:asciiTheme="majorHAnsi" w:hAnsiTheme="majorHAnsi" w:cstheme="majorHAnsi"/>
        </w:rPr>
        <w:t xml:space="preserve"> </w:t>
      </w:r>
      <w:r w:rsidRPr="00ED1C36">
        <w:rPr>
          <w:rFonts w:asciiTheme="majorHAnsi" w:hAnsiTheme="majorHAnsi" w:cstheme="majorHAnsi"/>
        </w:rPr>
        <w:t xml:space="preserve">can be </w:t>
      </w:r>
      <w:r w:rsidR="007E630A" w:rsidRPr="00ED1C36">
        <w:rPr>
          <w:rFonts w:asciiTheme="majorHAnsi" w:hAnsiTheme="majorHAnsi" w:cstheme="majorHAnsi"/>
        </w:rPr>
        <w:t xml:space="preserve">considered </w:t>
      </w:r>
      <w:r w:rsidRPr="00ED1C36">
        <w:rPr>
          <w:rFonts w:asciiTheme="majorHAnsi" w:hAnsiTheme="majorHAnsi" w:cstheme="majorHAnsi"/>
        </w:rPr>
        <w:t xml:space="preserve">as addressing an </w:t>
      </w:r>
      <w:r w:rsidR="00787A92">
        <w:rPr>
          <w:rFonts w:asciiTheme="majorHAnsi" w:hAnsiTheme="majorHAnsi" w:cstheme="majorHAnsi"/>
        </w:rPr>
        <w:t>UMN</w:t>
      </w:r>
      <w:r w:rsidRPr="00ED1C36">
        <w:rPr>
          <w:rFonts w:asciiTheme="majorHAnsi" w:hAnsiTheme="majorHAnsi" w:cstheme="majorHAnsi"/>
        </w:rPr>
        <w:t>. However,</w:t>
      </w:r>
      <w:r w:rsidR="00F261A9" w:rsidRPr="00ED1C36">
        <w:rPr>
          <w:rFonts w:asciiTheme="majorHAnsi" w:hAnsiTheme="majorHAnsi" w:cstheme="majorHAnsi"/>
        </w:rPr>
        <w:t xml:space="preserve"> </w:t>
      </w:r>
      <w:r w:rsidR="005B6686">
        <w:rPr>
          <w:rFonts w:asciiTheme="majorHAnsi" w:hAnsiTheme="majorHAnsi" w:cstheme="majorHAnsi"/>
        </w:rPr>
        <w:t xml:space="preserve">EUCOPE understands that </w:t>
      </w:r>
      <w:r w:rsidR="00F261A9" w:rsidRPr="00ED1C36">
        <w:rPr>
          <w:rFonts w:asciiTheme="majorHAnsi" w:hAnsiTheme="majorHAnsi" w:cstheme="majorHAnsi"/>
        </w:rPr>
        <w:t xml:space="preserve">the European Commission </w:t>
      </w:r>
      <w:r w:rsidR="00E80C00" w:rsidRPr="00ED1C36">
        <w:rPr>
          <w:rFonts w:asciiTheme="majorHAnsi" w:hAnsiTheme="majorHAnsi" w:cstheme="majorHAnsi"/>
        </w:rPr>
        <w:t xml:space="preserve">is thinking of </w:t>
      </w:r>
      <w:r w:rsidR="005D06C4" w:rsidRPr="00ED1C36">
        <w:rPr>
          <w:rFonts w:asciiTheme="majorHAnsi" w:hAnsiTheme="majorHAnsi" w:cstheme="majorHAnsi"/>
        </w:rPr>
        <w:t xml:space="preserve">including an additional concept in the </w:t>
      </w:r>
      <w:r w:rsidR="00BF684C">
        <w:rPr>
          <w:rFonts w:asciiTheme="majorHAnsi" w:hAnsiTheme="majorHAnsi" w:cstheme="majorHAnsi"/>
        </w:rPr>
        <w:t>OMP</w:t>
      </w:r>
      <w:r w:rsidR="005D06C4" w:rsidRPr="00ED1C36">
        <w:rPr>
          <w:rFonts w:asciiTheme="majorHAnsi" w:hAnsiTheme="majorHAnsi" w:cstheme="majorHAnsi"/>
        </w:rPr>
        <w:t xml:space="preserve"> Regulation</w:t>
      </w:r>
      <w:r w:rsidR="007E4F2A">
        <w:rPr>
          <w:rFonts w:asciiTheme="majorHAnsi" w:hAnsiTheme="majorHAnsi" w:cstheme="majorHAnsi"/>
        </w:rPr>
        <w:t>, that of</w:t>
      </w:r>
      <w:r w:rsidR="00F261A9" w:rsidRPr="00ED1C36">
        <w:rPr>
          <w:rFonts w:asciiTheme="majorHAnsi" w:hAnsiTheme="majorHAnsi" w:cstheme="majorHAnsi"/>
        </w:rPr>
        <w:t xml:space="preserve"> </w:t>
      </w:r>
      <w:r w:rsidR="00F261A9" w:rsidRPr="00ED1C36">
        <w:rPr>
          <w:rFonts w:asciiTheme="majorHAnsi" w:hAnsiTheme="majorHAnsi" w:cstheme="majorHAnsi"/>
          <w:b/>
          <w:bCs/>
        </w:rPr>
        <w:t>highest unmet medical need</w:t>
      </w:r>
      <w:r w:rsidR="003D7EEE" w:rsidRPr="00ED1C36">
        <w:rPr>
          <w:rFonts w:asciiTheme="majorHAnsi" w:hAnsiTheme="majorHAnsi" w:cstheme="majorHAnsi"/>
          <w:b/>
          <w:bCs/>
        </w:rPr>
        <w:t xml:space="preserve"> (HUMN)</w:t>
      </w:r>
      <w:r w:rsidR="00F261A9" w:rsidRPr="00ED1C36">
        <w:rPr>
          <w:rFonts w:asciiTheme="majorHAnsi" w:hAnsiTheme="majorHAnsi" w:cstheme="majorHAnsi"/>
          <w:b/>
          <w:bCs/>
        </w:rPr>
        <w:t>.</w:t>
      </w:r>
      <w:r w:rsidRPr="00ED1C36">
        <w:rPr>
          <w:rFonts w:asciiTheme="majorHAnsi" w:hAnsiTheme="majorHAnsi" w:cstheme="majorHAnsi"/>
          <w:b/>
          <w:bCs/>
        </w:rPr>
        <w:t xml:space="preserve"> </w:t>
      </w:r>
      <w:r w:rsidR="002C610C">
        <w:rPr>
          <w:rFonts w:asciiTheme="majorHAnsi" w:hAnsiTheme="majorHAnsi" w:cstheme="majorHAnsi"/>
          <w:b/>
          <w:bCs/>
        </w:rPr>
        <w:t>Such a concept would de facto create</w:t>
      </w:r>
      <w:r w:rsidRPr="00ED1C36">
        <w:rPr>
          <w:rFonts w:asciiTheme="majorHAnsi" w:hAnsiTheme="majorHAnsi" w:cstheme="majorHAnsi"/>
        </w:rPr>
        <w:t xml:space="preserve"> a</w:t>
      </w:r>
      <w:r w:rsidR="004E756C">
        <w:rPr>
          <w:rFonts w:asciiTheme="majorHAnsi" w:hAnsiTheme="majorHAnsi" w:cstheme="majorHAnsi"/>
        </w:rPr>
        <w:t xml:space="preserve"> superficial</w:t>
      </w:r>
      <w:r w:rsidRPr="00ED1C36">
        <w:rPr>
          <w:rFonts w:asciiTheme="majorHAnsi" w:hAnsiTheme="majorHAnsi" w:cstheme="majorHAnsi"/>
        </w:rPr>
        <w:t xml:space="preserve"> ranking </w:t>
      </w:r>
      <w:r w:rsidR="002C610C">
        <w:rPr>
          <w:rFonts w:asciiTheme="majorHAnsi" w:hAnsiTheme="majorHAnsi" w:cstheme="majorHAnsi"/>
        </w:rPr>
        <w:t>among</w:t>
      </w:r>
      <w:r w:rsidRPr="00ED1C36">
        <w:rPr>
          <w:rFonts w:asciiTheme="majorHAnsi" w:hAnsiTheme="majorHAnsi" w:cstheme="majorHAnsi"/>
        </w:rPr>
        <w:t xml:space="preserve"> </w:t>
      </w:r>
      <w:r w:rsidR="00543602" w:rsidRPr="00ED1C36">
        <w:rPr>
          <w:rFonts w:asciiTheme="majorHAnsi" w:hAnsiTheme="majorHAnsi" w:cstheme="majorHAnsi"/>
        </w:rPr>
        <w:t>rare diseases</w:t>
      </w:r>
      <w:r w:rsidR="002C610C">
        <w:rPr>
          <w:rFonts w:asciiTheme="majorHAnsi" w:hAnsiTheme="majorHAnsi" w:cstheme="majorHAnsi"/>
        </w:rPr>
        <w:t xml:space="preserve">. </w:t>
      </w:r>
    </w:p>
    <w:p w14:paraId="78D7F705" w14:textId="5B9AB6D6" w:rsidR="000F4FA8" w:rsidRPr="00AB2E8D" w:rsidRDefault="00421082" w:rsidP="00016218">
      <w:pPr>
        <w:jc w:val="both"/>
        <w:rPr>
          <w:rFonts w:asciiTheme="majorHAnsi" w:hAnsiTheme="majorHAnsi" w:cstheme="majorHAnsi"/>
          <w:i/>
          <w:iCs/>
          <w:u w:val="single"/>
        </w:rPr>
      </w:pPr>
      <w:r w:rsidRPr="00AB2E8D">
        <w:rPr>
          <w:rFonts w:asciiTheme="majorHAnsi" w:hAnsiTheme="majorHAnsi" w:cstheme="majorHAnsi"/>
          <w:i/>
          <w:iCs/>
          <w:u w:val="single"/>
        </w:rPr>
        <w:t>The</w:t>
      </w:r>
      <w:r w:rsidR="000F4FA8" w:rsidRPr="00AB2E8D">
        <w:rPr>
          <w:rFonts w:asciiTheme="majorHAnsi" w:hAnsiTheme="majorHAnsi" w:cstheme="majorHAnsi"/>
          <w:i/>
          <w:iCs/>
          <w:u w:val="single"/>
        </w:rPr>
        <w:t xml:space="preserve"> current </w:t>
      </w:r>
      <w:r w:rsidRPr="00AB2E8D">
        <w:rPr>
          <w:rFonts w:asciiTheme="majorHAnsi" w:hAnsiTheme="majorHAnsi" w:cstheme="majorHAnsi"/>
          <w:i/>
          <w:iCs/>
          <w:u w:val="single"/>
        </w:rPr>
        <w:t>OMP</w:t>
      </w:r>
      <w:r w:rsidR="000F4FA8" w:rsidRPr="00AB2E8D">
        <w:rPr>
          <w:rFonts w:asciiTheme="majorHAnsi" w:hAnsiTheme="majorHAnsi" w:cstheme="majorHAnsi"/>
          <w:i/>
          <w:iCs/>
          <w:u w:val="single"/>
        </w:rPr>
        <w:t xml:space="preserve"> </w:t>
      </w:r>
      <w:r w:rsidRPr="00AB2E8D">
        <w:rPr>
          <w:rFonts w:asciiTheme="majorHAnsi" w:hAnsiTheme="majorHAnsi" w:cstheme="majorHAnsi"/>
          <w:i/>
          <w:iCs/>
          <w:u w:val="single"/>
        </w:rPr>
        <w:t>Regulation already include</w:t>
      </w:r>
      <w:r w:rsidR="001B6EF4" w:rsidRPr="00AB2E8D">
        <w:rPr>
          <w:rFonts w:asciiTheme="majorHAnsi" w:hAnsiTheme="majorHAnsi" w:cstheme="majorHAnsi"/>
          <w:i/>
          <w:iCs/>
          <w:u w:val="single"/>
        </w:rPr>
        <w:t xml:space="preserve"> balanced and effective</w:t>
      </w:r>
      <w:r w:rsidR="000F4FA8" w:rsidRPr="00AB2E8D">
        <w:rPr>
          <w:rFonts w:asciiTheme="majorHAnsi" w:hAnsiTheme="majorHAnsi" w:cstheme="majorHAnsi"/>
          <w:i/>
          <w:iCs/>
          <w:u w:val="single"/>
        </w:rPr>
        <w:t xml:space="preserve"> </w:t>
      </w:r>
      <w:r w:rsidR="001B6EF4" w:rsidRPr="00AB2E8D">
        <w:rPr>
          <w:rFonts w:asciiTheme="majorHAnsi" w:hAnsiTheme="majorHAnsi" w:cstheme="majorHAnsi"/>
          <w:i/>
          <w:iCs/>
          <w:u w:val="single"/>
        </w:rPr>
        <w:t>tools</w:t>
      </w:r>
      <w:r w:rsidR="000F4FA8" w:rsidRPr="00AB2E8D">
        <w:rPr>
          <w:rFonts w:asciiTheme="majorHAnsi" w:hAnsiTheme="majorHAnsi" w:cstheme="majorHAnsi"/>
          <w:i/>
          <w:iCs/>
          <w:u w:val="single"/>
        </w:rPr>
        <w:t xml:space="preserve"> to ad</w:t>
      </w:r>
      <w:r w:rsidRPr="00AB2E8D">
        <w:rPr>
          <w:rFonts w:asciiTheme="majorHAnsi" w:hAnsiTheme="majorHAnsi" w:cstheme="majorHAnsi"/>
          <w:i/>
          <w:iCs/>
          <w:u w:val="single"/>
        </w:rPr>
        <w:t>dress patient needs</w:t>
      </w:r>
    </w:p>
    <w:p w14:paraId="0641B220" w14:textId="18FB3E3C" w:rsidR="00086137" w:rsidRPr="001B6EF4" w:rsidRDefault="00086137" w:rsidP="00016218">
      <w:pPr>
        <w:jc w:val="both"/>
        <w:rPr>
          <w:rFonts w:asciiTheme="majorHAnsi" w:hAnsiTheme="majorHAnsi" w:cstheme="majorHAnsi"/>
        </w:rPr>
      </w:pPr>
      <w:r w:rsidRPr="00ED1C36">
        <w:rPr>
          <w:rFonts w:asciiTheme="majorHAnsi" w:hAnsiTheme="majorHAnsi" w:cstheme="majorHAnsi"/>
        </w:rPr>
        <w:t xml:space="preserve">In the current version of the OMP Regulation, Article 3 refers to the life-threatening or chronically debilitating nature of the condition as a requirement for orphan designation of a </w:t>
      </w:r>
      <w:r w:rsidRPr="00BF114B">
        <w:rPr>
          <w:rFonts w:asciiTheme="majorHAnsi" w:hAnsiTheme="majorHAnsi" w:cstheme="majorHAnsi"/>
        </w:rPr>
        <w:t>medicine. Unmet needs are implicit in the ‘Significant Benefit’ criteria for designation. This approach should be maintained in the review of the OMP Regulation, instead of creating another layer of ‘highest’ unmet</w:t>
      </w:r>
      <w:r w:rsidRPr="00ED1C36">
        <w:rPr>
          <w:rFonts w:asciiTheme="majorHAnsi" w:hAnsiTheme="majorHAnsi" w:cstheme="majorHAnsi"/>
        </w:rPr>
        <w:t xml:space="preserve"> medical needs as the test of ‘significant benefit’</w:t>
      </w:r>
      <w:r>
        <w:rPr>
          <w:rFonts w:asciiTheme="majorHAnsi" w:hAnsiTheme="majorHAnsi" w:cstheme="majorHAnsi"/>
        </w:rPr>
        <w:t>. The current system</w:t>
      </w:r>
      <w:r w:rsidRPr="00ED1C36">
        <w:rPr>
          <w:rFonts w:asciiTheme="majorHAnsi" w:hAnsiTheme="majorHAnsi" w:cstheme="majorHAnsi"/>
        </w:rPr>
        <w:t xml:space="preserve"> </w:t>
      </w:r>
      <w:proofErr w:type="gramStart"/>
      <w:r w:rsidRPr="00ED1C36">
        <w:rPr>
          <w:rFonts w:asciiTheme="majorHAnsi" w:hAnsiTheme="majorHAnsi" w:cstheme="majorHAnsi"/>
        </w:rPr>
        <w:t>take</w:t>
      </w:r>
      <w:r>
        <w:rPr>
          <w:rFonts w:asciiTheme="majorHAnsi" w:hAnsiTheme="majorHAnsi" w:cstheme="majorHAnsi"/>
        </w:rPr>
        <w:t>s</w:t>
      </w:r>
      <w:r w:rsidRPr="00ED1C36">
        <w:rPr>
          <w:rFonts w:asciiTheme="majorHAnsi" w:hAnsiTheme="majorHAnsi" w:cstheme="majorHAnsi"/>
        </w:rPr>
        <w:t xml:space="preserve"> into account</w:t>
      </w:r>
      <w:proofErr w:type="gramEnd"/>
      <w:r w:rsidRPr="00ED1C36">
        <w:rPr>
          <w:rFonts w:asciiTheme="majorHAnsi" w:hAnsiTheme="majorHAnsi" w:cstheme="majorHAnsi"/>
        </w:rPr>
        <w:t xml:space="preserve"> the evolution of therapeutic option</w:t>
      </w:r>
      <w:r>
        <w:rPr>
          <w:rFonts w:asciiTheme="majorHAnsi" w:hAnsiTheme="majorHAnsi" w:cstheme="majorHAnsi"/>
        </w:rPr>
        <w:t>s</w:t>
      </w:r>
      <w:r w:rsidRPr="00ED1C36">
        <w:rPr>
          <w:rFonts w:asciiTheme="majorHAnsi" w:hAnsiTheme="majorHAnsi" w:cstheme="majorHAnsi"/>
        </w:rPr>
        <w:t xml:space="preserve"> and the heterogeneity of patient populations.</w:t>
      </w:r>
    </w:p>
    <w:p w14:paraId="0FE7B523" w14:textId="77777777" w:rsidR="00DB1B7F" w:rsidRPr="00AB2E8D" w:rsidRDefault="00D64899" w:rsidP="00016218">
      <w:pPr>
        <w:jc w:val="both"/>
        <w:rPr>
          <w:rFonts w:asciiTheme="majorHAnsi" w:hAnsiTheme="majorHAnsi" w:cstheme="majorHAnsi"/>
          <w:i/>
          <w:iCs/>
          <w:u w:val="single"/>
        </w:rPr>
      </w:pPr>
      <w:r w:rsidRPr="00AB2E8D">
        <w:rPr>
          <w:rFonts w:asciiTheme="majorHAnsi" w:hAnsiTheme="majorHAnsi" w:cstheme="majorHAnsi"/>
          <w:i/>
          <w:iCs/>
          <w:u w:val="single"/>
        </w:rPr>
        <w:t>No patient is the same</w:t>
      </w:r>
    </w:p>
    <w:p w14:paraId="675E65D5" w14:textId="5B23971D" w:rsidR="00477D79" w:rsidRPr="00ED1C36" w:rsidRDefault="00A73AE1" w:rsidP="00927E71">
      <w:pPr>
        <w:jc w:val="both"/>
        <w:rPr>
          <w:rFonts w:asciiTheme="majorHAnsi" w:hAnsiTheme="majorHAnsi" w:cstheme="majorHAnsi"/>
        </w:rPr>
      </w:pPr>
      <w:r>
        <w:rPr>
          <w:rFonts w:asciiTheme="majorHAnsi" w:hAnsiTheme="majorHAnsi" w:cstheme="majorHAnsi"/>
        </w:rPr>
        <w:t>The understanding of what</w:t>
      </w:r>
      <w:r w:rsidR="002A49AB">
        <w:rPr>
          <w:rFonts w:asciiTheme="majorHAnsi" w:hAnsiTheme="majorHAnsi" w:cstheme="majorHAnsi"/>
        </w:rPr>
        <w:t xml:space="preserve"> is an unmet need changes and evolves over time, based on </w:t>
      </w:r>
      <w:r w:rsidR="00927E71">
        <w:rPr>
          <w:rFonts w:asciiTheme="majorHAnsi" w:hAnsiTheme="majorHAnsi" w:cstheme="majorHAnsi"/>
        </w:rPr>
        <w:t xml:space="preserve">current best practices and available treatments. It also varies profoundly from one patient to another, </w:t>
      </w:r>
      <w:r w:rsidR="00632814" w:rsidRPr="00ED1C36">
        <w:rPr>
          <w:rFonts w:asciiTheme="majorHAnsi" w:hAnsiTheme="majorHAnsi" w:cstheme="majorHAnsi"/>
        </w:rPr>
        <w:t>given that no</w:t>
      </w:r>
      <w:r w:rsidR="00927E71">
        <w:rPr>
          <w:rFonts w:asciiTheme="majorHAnsi" w:hAnsiTheme="majorHAnsi" w:cstheme="majorHAnsi"/>
        </w:rPr>
        <w:t xml:space="preserve"> two</w:t>
      </w:r>
      <w:r w:rsidR="00632814" w:rsidRPr="00ED1C36">
        <w:rPr>
          <w:rFonts w:asciiTheme="majorHAnsi" w:hAnsiTheme="majorHAnsi" w:cstheme="majorHAnsi"/>
        </w:rPr>
        <w:t xml:space="preserve"> patient</w:t>
      </w:r>
      <w:r w:rsidR="00927E71">
        <w:rPr>
          <w:rFonts w:asciiTheme="majorHAnsi" w:hAnsiTheme="majorHAnsi" w:cstheme="majorHAnsi"/>
        </w:rPr>
        <w:t>s</w:t>
      </w:r>
      <w:r w:rsidR="00632814" w:rsidRPr="00ED1C36">
        <w:rPr>
          <w:rFonts w:asciiTheme="majorHAnsi" w:hAnsiTheme="majorHAnsi" w:cstheme="majorHAnsi"/>
        </w:rPr>
        <w:t xml:space="preserve"> </w:t>
      </w:r>
      <w:r w:rsidR="00927E71">
        <w:rPr>
          <w:rFonts w:asciiTheme="majorHAnsi" w:hAnsiTheme="majorHAnsi" w:cstheme="majorHAnsi"/>
        </w:rPr>
        <w:t>are</w:t>
      </w:r>
      <w:r w:rsidR="00632814" w:rsidRPr="00ED1C36">
        <w:rPr>
          <w:rFonts w:asciiTheme="majorHAnsi" w:hAnsiTheme="majorHAnsi" w:cstheme="majorHAnsi"/>
        </w:rPr>
        <w:t xml:space="preserve"> the same, </w:t>
      </w:r>
      <w:r w:rsidR="00477D79" w:rsidRPr="00ED1C36">
        <w:rPr>
          <w:rFonts w:asciiTheme="majorHAnsi" w:hAnsiTheme="majorHAnsi" w:cstheme="majorHAnsi"/>
        </w:rPr>
        <w:t xml:space="preserve">certainly </w:t>
      </w:r>
      <w:r w:rsidR="00802186" w:rsidRPr="00ED1C36">
        <w:rPr>
          <w:rFonts w:asciiTheme="majorHAnsi" w:hAnsiTheme="majorHAnsi" w:cstheme="majorHAnsi"/>
        </w:rPr>
        <w:t>across disease areas</w:t>
      </w:r>
      <w:r w:rsidR="00477D79" w:rsidRPr="00ED1C36">
        <w:rPr>
          <w:rFonts w:asciiTheme="majorHAnsi" w:hAnsiTheme="majorHAnsi" w:cstheme="majorHAnsi"/>
        </w:rPr>
        <w:t xml:space="preserve">, but </w:t>
      </w:r>
      <w:r w:rsidR="00DB2148" w:rsidRPr="00ED1C36">
        <w:rPr>
          <w:rFonts w:asciiTheme="majorHAnsi" w:hAnsiTheme="majorHAnsi" w:cstheme="majorHAnsi"/>
        </w:rPr>
        <w:t>also</w:t>
      </w:r>
      <w:r w:rsidR="00477D79" w:rsidRPr="00ED1C36">
        <w:rPr>
          <w:rFonts w:asciiTheme="majorHAnsi" w:hAnsiTheme="majorHAnsi" w:cstheme="majorHAnsi"/>
        </w:rPr>
        <w:t xml:space="preserve"> within the same</w:t>
      </w:r>
      <w:r w:rsidR="00802186" w:rsidRPr="00ED1C36">
        <w:rPr>
          <w:rFonts w:asciiTheme="majorHAnsi" w:hAnsiTheme="majorHAnsi" w:cstheme="majorHAnsi"/>
        </w:rPr>
        <w:t xml:space="preserve"> </w:t>
      </w:r>
      <w:r w:rsidR="00477D79" w:rsidRPr="00ED1C36">
        <w:rPr>
          <w:rFonts w:asciiTheme="majorHAnsi" w:hAnsiTheme="majorHAnsi" w:cstheme="majorHAnsi"/>
        </w:rPr>
        <w:t>disease</w:t>
      </w:r>
      <w:r w:rsidR="00632814" w:rsidRPr="00ED1C36">
        <w:rPr>
          <w:rFonts w:asciiTheme="majorHAnsi" w:hAnsiTheme="majorHAnsi" w:cstheme="majorHAnsi"/>
        </w:rPr>
        <w:t>.</w:t>
      </w:r>
      <w:r w:rsidR="002D3BC1" w:rsidRPr="00ED1C36">
        <w:rPr>
          <w:rFonts w:asciiTheme="majorHAnsi" w:hAnsiTheme="majorHAnsi" w:cstheme="majorHAnsi"/>
        </w:rPr>
        <w:t xml:space="preserve"> </w:t>
      </w:r>
      <w:r w:rsidR="00C66FBF">
        <w:rPr>
          <w:rFonts w:asciiTheme="majorHAnsi" w:hAnsiTheme="majorHAnsi" w:cstheme="majorHAnsi"/>
        </w:rPr>
        <w:t xml:space="preserve">This is true for all </w:t>
      </w:r>
      <w:r w:rsidR="00C66FBF">
        <w:rPr>
          <w:rFonts w:asciiTheme="majorHAnsi" w:hAnsiTheme="majorHAnsi" w:cstheme="majorHAnsi"/>
        </w:rPr>
        <w:lastRenderedPageBreak/>
        <w:t>patient</w:t>
      </w:r>
      <w:r w:rsidR="00B92671">
        <w:rPr>
          <w:rFonts w:asciiTheme="majorHAnsi" w:hAnsiTheme="majorHAnsi" w:cstheme="majorHAnsi"/>
        </w:rPr>
        <w:t>s</w:t>
      </w:r>
      <w:r w:rsidR="00C66FBF">
        <w:rPr>
          <w:rFonts w:asciiTheme="majorHAnsi" w:hAnsiTheme="majorHAnsi" w:cstheme="majorHAnsi"/>
        </w:rPr>
        <w:t xml:space="preserve"> and even </w:t>
      </w:r>
      <w:r w:rsidR="00B92671">
        <w:rPr>
          <w:rFonts w:asciiTheme="majorHAnsi" w:hAnsiTheme="majorHAnsi" w:cstheme="majorHAnsi"/>
        </w:rPr>
        <w:t>more evident</w:t>
      </w:r>
      <w:r w:rsidR="00635237">
        <w:rPr>
          <w:rFonts w:asciiTheme="majorHAnsi" w:hAnsiTheme="majorHAnsi" w:cstheme="majorHAnsi"/>
        </w:rPr>
        <w:t xml:space="preserve"> in rare disease. </w:t>
      </w:r>
      <w:r w:rsidR="0040642F" w:rsidRPr="00ED1C36">
        <w:rPr>
          <w:rFonts w:asciiTheme="majorHAnsi" w:hAnsiTheme="majorHAnsi" w:cstheme="majorHAnsi"/>
        </w:rPr>
        <w:t>An example of this is cystic fibrosis, a genetic disease caused by mutations, or errors, in the cystic fibrosis transmembrane conductance regulator (CFTR) gene. About 2</w:t>
      </w:r>
      <w:r w:rsidR="00927E71">
        <w:rPr>
          <w:rFonts w:asciiTheme="majorHAnsi" w:hAnsiTheme="majorHAnsi" w:cstheme="majorHAnsi"/>
        </w:rPr>
        <w:t>,</w:t>
      </w:r>
      <w:r w:rsidR="0040642F" w:rsidRPr="00ED1C36">
        <w:rPr>
          <w:rFonts w:asciiTheme="majorHAnsi" w:hAnsiTheme="majorHAnsi" w:cstheme="majorHAnsi"/>
        </w:rPr>
        <w:t>000 CFT</w:t>
      </w:r>
      <w:r w:rsidR="000F54E7">
        <w:rPr>
          <w:rFonts w:asciiTheme="majorHAnsi" w:hAnsiTheme="majorHAnsi" w:cstheme="majorHAnsi"/>
        </w:rPr>
        <w:t>R</w:t>
      </w:r>
      <w:r w:rsidR="0040642F" w:rsidRPr="00ED1C36">
        <w:rPr>
          <w:rFonts w:asciiTheme="majorHAnsi" w:hAnsiTheme="majorHAnsi" w:cstheme="majorHAnsi"/>
        </w:rPr>
        <w:t xml:space="preserve"> mutations have been identified, </w:t>
      </w:r>
      <w:r w:rsidR="009A3F8F" w:rsidRPr="00ED1C36">
        <w:rPr>
          <w:rFonts w:asciiTheme="majorHAnsi" w:hAnsiTheme="majorHAnsi" w:cstheme="majorHAnsi"/>
        </w:rPr>
        <w:t>most are very rare, and occur in only a few families</w:t>
      </w:r>
      <w:r w:rsidR="00A76DE1" w:rsidRPr="00ED1C36">
        <w:rPr>
          <w:rFonts w:asciiTheme="majorHAnsi" w:hAnsiTheme="majorHAnsi" w:cstheme="majorHAnsi"/>
        </w:rPr>
        <w:t>.</w:t>
      </w:r>
      <w:r w:rsidR="00D823E2" w:rsidRPr="00ED1C36">
        <w:rPr>
          <w:rFonts w:asciiTheme="majorHAnsi" w:hAnsiTheme="majorHAnsi" w:cstheme="majorHAnsi"/>
        </w:rPr>
        <w:t xml:space="preserve"> Conventionally, these mutations are sorted into six classes bas</w:t>
      </w:r>
      <w:r w:rsidR="003E6946">
        <w:rPr>
          <w:rFonts w:asciiTheme="majorHAnsi" w:hAnsiTheme="majorHAnsi" w:cstheme="majorHAnsi"/>
        </w:rPr>
        <w:t>ed</w:t>
      </w:r>
      <w:r w:rsidR="00D823E2" w:rsidRPr="00ED1C36">
        <w:rPr>
          <w:rFonts w:asciiTheme="majorHAnsi" w:hAnsiTheme="majorHAnsi" w:cstheme="majorHAnsi"/>
        </w:rPr>
        <w:t xml:space="preserve"> o</w:t>
      </w:r>
      <w:r w:rsidR="003E6946">
        <w:rPr>
          <w:rFonts w:asciiTheme="majorHAnsi" w:hAnsiTheme="majorHAnsi" w:cstheme="majorHAnsi"/>
        </w:rPr>
        <w:t>n</w:t>
      </w:r>
      <w:r w:rsidR="00D823E2" w:rsidRPr="00ED1C36">
        <w:rPr>
          <w:rFonts w:asciiTheme="majorHAnsi" w:hAnsiTheme="majorHAnsi" w:cstheme="majorHAnsi"/>
        </w:rPr>
        <w:t xml:space="preserve"> their effects on</w:t>
      </w:r>
      <w:r w:rsidR="003E6946">
        <w:rPr>
          <w:rFonts w:asciiTheme="majorHAnsi" w:hAnsiTheme="majorHAnsi" w:cstheme="majorHAnsi"/>
        </w:rPr>
        <w:t xml:space="preserve"> the</w:t>
      </w:r>
      <w:r w:rsidR="00D823E2" w:rsidRPr="00ED1C36">
        <w:rPr>
          <w:rFonts w:asciiTheme="majorHAnsi" w:hAnsiTheme="majorHAnsi" w:cstheme="majorHAnsi"/>
        </w:rPr>
        <w:t xml:space="preserve"> protein structure and function. </w:t>
      </w:r>
      <w:r w:rsidR="002F0C3B" w:rsidRPr="00ED1C36">
        <w:rPr>
          <w:rFonts w:asciiTheme="majorHAnsi" w:hAnsiTheme="majorHAnsi" w:cstheme="majorHAnsi"/>
        </w:rPr>
        <w:t xml:space="preserve">The heterogeneity in </w:t>
      </w:r>
      <w:r w:rsidR="00CB6F0A" w:rsidRPr="00ED1C36">
        <w:rPr>
          <w:rFonts w:asciiTheme="majorHAnsi" w:hAnsiTheme="majorHAnsi" w:cstheme="majorHAnsi"/>
        </w:rPr>
        <w:t>cystic fibrosis</w:t>
      </w:r>
      <w:r w:rsidR="009D6451">
        <w:rPr>
          <w:rFonts w:asciiTheme="majorHAnsi" w:hAnsiTheme="majorHAnsi" w:cstheme="majorHAnsi"/>
        </w:rPr>
        <w:t xml:space="preserve"> means</w:t>
      </w:r>
      <w:r w:rsidR="00CB6F0A" w:rsidRPr="00ED1C36">
        <w:rPr>
          <w:rFonts w:asciiTheme="majorHAnsi" w:hAnsiTheme="majorHAnsi" w:cstheme="majorHAnsi"/>
        </w:rPr>
        <w:t xml:space="preserve"> </w:t>
      </w:r>
      <w:r w:rsidR="002F0C3B" w:rsidRPr="00ED1C36">
        <w:rPr>
          <w:rFonts w:asciiTheme="majorHAnsi" w:hAnsiTheme="majorHAnsi" w:cstheme="majorHAnsi"/>
        </w:rPr>
        <w:t>that</w:t>
      </w:r>
      <w:r w:rsidR="00A015D3" w:rsidRPr="00ED1C36">
        <w:rPr>
          <w:rFonts w:asciiTheme="majorHAnsi" w:hAnsiTheme="majorHAnsi" w:cstheme="majorHAnsi"/>
        </w:rPr>
        <w:t xml:space="preserve"> not</w:t>
      </w:r>
      <w:r w:rsidR="00D823E2" w:rsidRPr="00ED1C36">
        <w:rPr>
          <w:rFonts w:asciiTheme="majorHAnsi" w:hAnsiTheme="majorHAnsi" w:cstheme="majorHAnsi"/>
        </w:rPr>
        <w:t xml:space="preserve"> all mutations in the same class respond to the same </w:t>
      </w:r>
      <w:r w:rsidR="0034503F" w:rsidRPr="00ED1C36">
        <w:rPr>
          <w:rFonts w:asciiTheme="majorHAnsi" w:hAnsiTheme="majorHAnsi" w:cstheme="majorHAnsi"/>
        </w:rPr>
        <w:t>drug</w:t>
      </w:r>
      <w:r w:rsidR="00D823E2" w:rsidRPr="00ED1C36">
        <w:rPr>
          <w:rFonts w:asciiTheme="majorHAnsi" w:hAnsiTheme="majorHAnsi" w:cstheme="majorHAnsi"/>
        </w:rPr>
        <w:t xml:space="preserve">. </w:t>
      </w:r>
      <w:r w:rsidR="00A015D3" w:rsidRPr="00ED1C36">
        <w:rPr>
          <w:rFonts w:asciiTheme="majorHAnsi" w:hAnsiTheme="majorHAnsi" w:cstheme="majorHAnsi"/>
        </w:rPr>
        <w:t>Conversely</w:t>
      </w:r>
      <w:r w:rsidR="00D823E2" w:rsidRPr="00ED1C36">
        <w:rPr>
          <w:rFonts w:asciiTheme="majorHAnsi" w:hAnsiTheme="majorHAnsi" w:cstheme="majorHAnsi"/>
        </w:rPr>
        <w:t xml:space="preserve">, sometimes mutations in different classes could be targeted by the same </w:t>
      </w:r>
      <w:r w:rsidR="006A7AAD" w:rsidRPr="00ED1C36">
        <w:rPr>
          <w:rFonts w:asciiTheme="majorHAnsi" w:hAnsiTheme="majorHAnsi" w:cstheme="majorHAnsi"/>
        </w:rPr>
        <w:t>treatment</w:t>
      </w:r>
      <w:r w:rsidR="00D823E2" w:rsidRPr="00ED1C36">
        <w:rPr>
          <w:rFonts w:asciiTheme="majorHAnsi" w:hAnsiTheme="majorHAnsi" w:cstheme="majorHAnsi"/>
        </w:rPr>
        <w:t>.</w:t>
      </w:r>
      <w:r w:rsidR="00DB2148" w:rsidRPr="00ED1C36">
        <w:rPr>
          <w:rStyle w:val="FootnoteReference"/>
          <w:rFonts w:asciiTheme="majorHAnsi" w:hAnsiTheme="majorHAnsi" w:cstheme="majorHAnsi"/>
        </w:rPr>
        <w:footnoteReference w:id="12"/>
      </w:r>
    </w:p>
    <w:p w14:paraId="6B9E3357" w14:textId="47115434" w:rsidR="00DB1B7F" w:rsidRPr="00AB2E8D" w:rsidRDefault="00316F6F" w:rsidP="00016218">
      <w:pPr>
        <w:jc w:val="both"/>
        <w:rPr>
          <w:rFonts w:asciiTheme="majorHAnsi" w:hAnsiTheme="majorHAnsi" w:cstheme="majorHAnsi"/>
          <w:i/>
          <w:iCs/>
          <w:u w:val="single"/>
        </w:rPr>
      </w:pPr>
      <w:r w:rsidRPr="00AB2E8D">
        <w:rPr>
          <w:rFonts w:asciiTheme="majorHAnsi" w:hAnsiTheme="majorHAnsi" w:cstheme="majorHAnsi"/>
          <w:i/>
          <w:iCs/>
          <w:u w:val="single"/>
        </w:rPr>
        <w:t>A HUMN</w:t>
      </w:r>
      <w:r w:rsidR="00C9237E" w:rsidRPr="00AB2E8D">
        <w:rPr>
          <w:rFonts w:asciiTheme="majorHAnsi" w:hAnsiTheme="majorHAnsi" w:cstheme="majorHAnsi"/>
          <w:i/>
          <w:iCs/>
          <w:u w:val="single"/>
        </w:rPr>
        <w:t xml:space="preserve"> definition would not capture the s</w:t>
      </w:r>
      <w:r w:rsidR="002E5FCB" w:rsidRPr="00AB2E8D">
        <w:rPr>
          <w:rFonts w:asciiTheme="majorHAnsi" w:hAnsiTheme="majorHAnsi" w:cstheme="majorHAnsi"/>
          <w:i/>
          <w:iCs/>
          <w:u w:val="single"/>
        </w:rPr>
        <w:t>ocietal aspects of unmet needs</w:t>
      </w:r>
    </w:p>
    <w:p w14:paraId="1BBD4E92" w14:textId="7ED830E5" w:rsidR="002A47DC" w:rsidRPr="00ED1C36" w:rsidRDefault="002A47DC" w:rsidP="00016218">
      <w:pPr>
        <w:jc w:val="both"/>
        <w:rPr>
          <w:rFonts w:asciiTheme="majorHAnsi" w:hAnsiTheme="majorHAnsi" w:cstheme="majorHAnsi"/>
          <w:lang w:val="en-US"/>
        </w:rPr>
      </w:pPr>
      <w:r w:rsidRPr="00ED1C36">
        <w:rPr>
          <w:rFonts w:asciiTheme="majorHAnsi" w:hAnsiTheme="majorHAnsi" w:cstheme="majorHAnsi"/>
        </w:rPr>
        <w:t>While crucial, the absence of treatment is not the only unmet need to consider. Disease severity, burden of illness and impact on the quality of life of patients, as well as the significant indirect costs for families and caregivers</w:t>
      </w:r>
      <w:r w:rsidR="00016232" w:rsidRPr="00ED1C36">
        <w:rPr>
          <w:rFonts w:asciiTheme="majorHAnsi" w:hAnsiTheme="majorHAnsi" w:cstheme="majorHAnsi"/>
        </w:rPr>
        <w:t xml:space="preserve"> </w:t>
      </w:r>
      <w:r w:rsidR="00D0706E" w:rsidRPr="00ED1C36">
        <w:rPr>
          <w:rFonts w:asciiTheme="majorHAnsi" w:hAnsiTheme="majorHAnsi" w:cstheme="majorHAnsi"/>
          <w:lang w:val="en-US"/>
        </w:rPr>
        <w:t xml:space="preserve">can </w:t>
      </w:r>
      <w:r w:rsidRPr="00ED1C36">
        <w:rPr>
          <w:rFonts w:asciiTheme="majorHAnsi" w:hAnsiTheme="majorHAnsi" w:cstheme="majorHAnsi"/>
        </w:rPr>
        <w:t xml:space="preserve">also qualify as </w:t>
      </w:r>
      <w:r w:rsidR="00D0706E" w:rsidRPr="00ED1C36">
        <w:rPr>
          <w:rFonts w:asciiTheme="majorHAnsi" w:hAnsiTheme="majorHAnsi" w:cstheme="majorHAnsi"/>
        </w:rPr>
        <w:t xml:space="preserve">high </w:t>
      </w:r>
      <w:r w:rsidRPr="00ED1C36">
        <w:rPr>
          <w:rFonts w:asciiTheme="majorHAnsi" w:hAnsiTheme="majorHAnsi" w:cstheme="majorHAnsi"/>
        </w:rPr>
        <w:t xml:space="preserve">unmet needs. </w:t>
      </w:r>
      <w:r w:rsidR="005E7A7E" w:rsidRPr="00ED1C36">
        <w:rPr>
          <w:rFonts w:asciiTheme="majorHAnsi" w:hAnsiTheme="majorHAnsi" w:cstheme="majorHAnsi"/>
          <w:lang w:val="en-US"/>
        </w:rPr>
        <w:t xml:space="preserve">For instance, in the case of </w:t>
      </w:r>
      <w:r w:rsidR="00EA069B" w:rsidRPr="00ED1C36">
        <w:rPr>
          <w:rFonts w:asciiTheme="majorHAnsi" w:hAnsiTheme="majorHAnsi" w:cstheme="majorHAnsi"/>
          <w:lang w:val="en-US"/>
        </w:rPr>
        <w:t>Phenylketonuria</w:t>
      </w:r>
      <w:r w:rsidR="006E4DAE" w:rsidRPr="00ED1C36">
        <w:rPr>
          <w:rFonts w:asciiTheme="majorHAnsi" w:hAnsiTheme="majorHAnsi" w:cstheme="majorHAnsi"/>
          <w:lang w:val="en-US"/>
        </w:rPr>
        <w:t xml:space="preserve"> (PKU)</w:t>
      </w:r>
      <w:r w:rsidR="00AC6574" w:rsidRPr="00ED1C36">
        <w:rPr>
          <w:rFonts w:asciiTheme="majorHAnsi" w:hAnsiTheme="majorHAnsi" w:cstheme="majorHAnsi"/>
          <w:lang w:val="en-US"/>
        </w:rPr>
        <w:t>,</w:t>
      </w:r>
      <w:r w:rsidR="00EA069B" w:rsidRPr="00ED1C36">
        <w:rPr>
          <w:rFonts w:asciiTheme="majorHAnsi" w:hAnsiTheme="majorHAnsi" w:cstheme="majorHAnsi"/>
          <w:lang w:val="en-US"/>
        </w:rPr>
        <w:t xml:space="preserve"> a genetic disorde</w:t>
      </w:r>
      <w:r w:rsidR="006E4DAE" w:rsidRPr="00ED1C36">
        <w:rPr>
          <w:rFonts w:asciiTheme="majorHAnsi" w:hAnsiTheme="majorHAnsi" w:cstheme="majorHAnsi"/>
          <w:lang w:val="en-US"/>
        </w:rPr>
        <w:t>r</w:t>
      </w:r>
      <w:r w:rsidR="00AC6574" w:rsidRPr="00ED1C36">
        <w:rPr>
          <w:rFonts w:asciiTheme="majorHAnsi" w:hAnsiTheme="majorHAnsi" w:cstheme="majorHAnsi"/>
        </w:rPr>
        <w:t xml:space="preserve"> </w:t>
      </w:r>
      <w:r w:rsidR="00AC6574" w:rsidRPr="00ED1C36">
        <w:rPr>
          <w:rFonts w:asciiTheme="majorHAnsi" w:hAnsiTheme="majorHAnsi" w:cstheme="majorHAnsi"/>
          <w:lang w:val="en-US"/>
        </w:rPr>
        <w:t>that results in decreased metabolism of the amino acid phenylalanine,</w:t>
      </w:r>
      <w:r w:rsidR="005E7A7E" w:rsidRPr="00ED1C36">
        <w:rPr>
          <w:rFonts w:asciiTheme="majorHAnsi" w:hAnsiTheme="majorHAnsi" w:cstheme="majorHAnsi"/>
          <w:lang w:val="en-US"/>
        </w:rPr>
        <w:t xml:space="preserve"> a dietary treatment does exist and can be quite effective to treat the disease. However, it is difficult to adhere to, thus creating a burden for patients and families</w:t>
      </w:r>
      <w:r w:rsidR="007F4F6D" w:rsidRPr="00ED1C36">
        <w:rPr>
          <w:rFonts w:asciiTheme="majorHAnsi" w:hAnsiTheme="majorHAnsi" w:cstheme="majorHAnsi"/>
          <w:lang w:val="en-US"/>
        </w:rPr>
        <w:t xml:space="preserve"> thus leaving still significant unmet needs</w:t>
      </w:r>
      <w:r w:rsidR="005E7A7E" w:rsidRPr="00ED1C36">
        <w:rPr>
          <w:rFonts w:asciiTheme="majorHAnsi" w:hAnsiTheme="majorHAnsi" w:cstheme="majorHAnsi"/>
          <w:lang w:val="en-US"/>
        </w:rPr>
        <w:t xml:space="preserve">. </w:t>
      </w:r>
    </w:p>
    <w:p w14:paraId="5B3AE719" w14:textId="4AA44567" w:rsidR="003A6277" w:rsidRPr="00ED1C36" w:rsidRDefault="00EC47B9" w:rsidP="00783D0A">
      <w:pPr>
        <w:pStyle w:val="NormalWeb"/>
        <w:jc w:val="both"/>
        <w:rPr>
          <w:rFonts w:asciiTheme="majorHAnsi" w:hAnsiTheme="majorHAnsi" w:cstheme="majorHAnsi"/>
          <w:b/>
          <w:bCs/>
        </w:rPr>
      </w:pPr>
      <w:r w:rsidRPr="00AB2E8D">
        <w:rPr>
          <w:rStyle w:val="cf01"/>
          <w:rFonts w:asciiTheme="majorHAnsi" w:hAnsiTheme="majorHAnsi" w:cstheme="majorHAnsi"/>
          <w:b/>
          <w:bCs/>
          <w:sz w:val="20"/>
          <w:szCs w:val="20"/>
        </w:rPr>
        <w:t>A</w:t>
      </w:r>
      <w:r w:rsidR="002A47DC" w:rsidRPr="00AB2E8D">
        <w:rPr>
          <w:rStyle w:val="cf01"/>
          <w:rFonts w:asciiTheme="majorHAnsi" w:hAnsiTheme="majorHAnsi" w:cstheme="majorHAnsi"/>
          <w:b/>
          <w:bCs/>
          <w:sz w:val="20"/>
          <w:szCs w:val="20"/>
        </w:rPr>
        <w:t xml:space="preserve"> legally binding definition of </w:t>
      </w:r>
      <w:r w:rsidR="002D3BC1" w:rsidRPr="00AB2E8D">
        <w:rPr>
          <w:rStyle w:val="cf01"/>
          <w:rFonts w:asciiTheme="majorHAnsi" w:hAnsiTheme="majorHAnsi" w:cstheme="majorHAnsi"/>
          <w:b/>
          <w:bCs/>
          <w:sz w:val="20"/>
          <w:szCs w:val="20"/>
        </w:rPr>
        <w:t>H</w:t>
      </w:r>
      <w:r w:rsidR="002A47DC" w:rsidRPr="00AB2E8D">
        <w:rPr>
          <w:rStyle w:val="cf01"/>
          <w:rFonts w:asciiTheme="majorHAnsi" w:hAnsiTheme="majorHAnsi" w:cstheme="majorHAnsi"/>
          <w:b/>
          <w:bCs/>
          <w:sz w:val="20"/>
          <w:szCs w:val="20"/>
        </w:rPr>
        <w:t xml:space="preserve">UMN </w:t>
      </w:r>
      <w:r w:rsidR="00D66A2B" w:rsidRPr="00AB2E8D">
        <w:rPr>
          <w:rStyle w:val="cf01"/>
          <w:rFonts w:asciiTheme="majorHAnsi" w:hAnsiTheme="majorHAnsi" w:cstheme="majorHAnsi"/>
          <w:b/>
          <w:bCs/>
          <w:sz w:val="20"/>
          <w:szCs w:val="20"/>
        </w:rPr>
        <w:t>would</w:t>
      </w:r>
      <w:r w:rsidR="002A47DC" w:rsidRPr="00AB2E8D">
        <w:rPr>
          <w:rStyle w:val="cf01"/>
          <w:rFonts w:asciiTheme="majorHAnsi" w:hAnsiTheme="majorHAnsi" w:cstheme="majorHAnsi"/>
          <w:b/>
          <w:bCs/>
          <w:sz w:val="20"/>
          <w:szCs w:val="20"/>
        </w:rPr>
        <w:t xml:space="preserve"> not be evidence-based</w:t>
      </w:r>
      <w:r w:rsidR="002A47DC" w:rsidRPr="00ED1C36">
        <w:rPr>
          <w:rStyle w:val="cf01"/>
          <w:rFonts w:asciiTheme="majorHAnsi" w:hAnsiTheme="majorHAnsi" w:cstheme="majorHAnsi"/>
          <w:sz w:val="20"/>
          <w:szCs w:val="20"/>
        </w:rPr>
        <w:t>, since</w:t>
      </w:r>
      <w:r w:rsidR="0006650D">
        <w:rPr>
          <w:rStyle w:val="cf01"/>
          <w:rFonts w:asciiTheme="majorHAnsi" w:hAnsiTheme="majorHAnsi" w:cstheme="majorHAnsi"/>
          <w:sz w:val="20"/>
          <w:szCs w:val="20"/>
        </w:rPr>
        <w:t xml:space="preserve"> some rare diseases </w:t>
      </w:r>
      <w:r w:rsidR="005744B1">
        <w:rPr>
          <w:rStyle w:val="cf01"/>
          <w:rFonts w:asciiTheme="majorHAnsi" w:hAnsiTheme="majorHAnsi" w:cstheme="majorHAnsi"/>
          <w:sz w:val="20"/>
          <w:szCs w:val="20"/>
        </w:rPr>
        <w:t>progress</w:t>
      </w:r>
      <w:r w:rsidR="0006650D">
        <w:rPr>
          <w:rStyle w:val="cf01"/>
          <w:rFonts w:asciiTheme="majorHAnsi" w:hAnsiTheme="majorHAnsi" w:cstheme="majorHAnsi"/>
          <w:sz w:val="20"/>
          <w:szCs w:val="20"/>
        </w:rPr>
        <w:t xml:space="preserve"> rapidly and have fatal effects at the early stage or progress slowly and have high burden of disease towards adulthood. </w:t>
      </w:r>
      <w:r w:rsidR="002A47DC" w:rsidRPr="00ED1C36">
        <w:rPr>
          <w:rStyle w:val="cf01"/>
          <w:rFonts w:asciiTheme="majorHAnsi" w:hAnsiTheme="majorHAnsi" w:cstheme="majorHAnsi"/>
          <w:sz w:val="20"/>
          <w:szCs w:val="20"/>
        </w:rPr>
        <w:t>It would risk creat</w:t>
      </w:r>
      <w:r w:rsidR="00743A9D">
        <w:rPr>
          <w:rStyle w:val="cf01"/>
          <w:rFonts w:asciiTheme="majorHAnsi" w:hAnsiTheme="majorHAnsi" w:cstheme="majorHAnsi"/>
          <w:sz w:val="20"/>
          <w:szCs w:val="20"/>
        </w:rPr>
        <w:t>ing</w:t>
      </w:r>
      <w:r w:rsidR="002A47DC" w:rsidRPr="00ED1C36">
        <w:rPr>
          <w:rStyle w:val="cf01"/>
          <w:rFonts w:asciiTheme="majorHAnsi" w:hAnsiTheme="majorHAnsi" w:cstheme="majorHAnsi"/>
          <w:sz w:val="20"/>
          <w:szCs w:val="20"/>
        </w:rPr>
        <w:t xml:space="preserve"> further discrimination </w:t>
      </w:r>
      <w:r w:rsidR="00672AEE">
        <w:rPr>
          <w:rStyle w:val="cf01"/>
          <w:rFonts w:asciiTheme="majorHAnsi" w:hAnsiTheme="majorHAnsi" w:cstheme="majorHAnsi"/>
          <w:sz w:val="20"/>
          <w:szCs w:val="20"/>
        </w:rPr>
        <w:t xml:space="preserve">and possibly inequalities among patient groups. </w:t>
      </w:r>
      <w:proofErr w:type="gramStart"/>
      <w:r w:rsidR="00E86C2D" w:rsidRPr="00ED1C36">
        <w:rPr>
          <w:rStyle w:val="cf01"/>
          <w:rFonts w:asciiTheme="majorHAnsi" w:hAnsiTheme="majorHAnsi" w:cstheme="majorHAnsi"/>
          <w:sz w:val="20"/>
          <w:szCs w:val="20"/>
        </w:rPr>
        <w:t>Similarly</w:t>
      </w:r>
      <w:proofErr w:type="gramEnd"/>
      <w:r w:rsidR="00E86C2D" w:rsidRPr="00ED1C36">
        <w:rPr>
          <w:rStyle w:val="cf01"/>
          <w:rFonts w:asciiTheme="majorHAnsi" w:hAnsiTheme="majorHAnsi" w:cstheme="majorHAnsi"/>
          <w:sz w:val="20"/>
          <w:szCs w:val="20"/>
        </w:rPr>
        <w:t xml:space="preserve"> to what</w:t>
      </w:r>
      <w:r w:rsidR="002D3EF1">
        <w:rPr>
          <w:rStyle w:val="cf01"/>
          <w:rFonts w:asciiTheme="majorHAnsi" w:hAnsiTheme="majorHAnsi" w:cstheme="majorHAnsi"/>
          <w:sz w:val="20"/>
          <w:szCs w:val="20"/>
        </w:rPr>
        <w:t xml:space="preserve"> is</w:t>
      </w:r>
      <w:r w:rsidR="00E86C2D" w:rsidRPr="00ED1C36">
        <w:rPr>
          <w:rStyle w:val="cf01"/>
          <w:rFonts w:asciiTheme="majorHAnsi" w:hAnsiTheme="majorHAnsi" w:cstheme="majorHAnsi"/>
          <w:sz w:val="20"/>
          <w:szCs w:val="20"/>
        </w:rPr>
        <w:t xml:space="preserve"> mentioned for unmet medical needs in the general pharmaceutical framework, including criteria such as </w:t>
      </w:r>
      <w:r w:rsidR="00E86C2D" w:rsidRPr="00ED1C36">
        <w:rPr>
          <w:rStyle w:val="cf01"/>
          <w:rFonts w:asciiTheme="majorHAnsi" w:hAnsiTheme="majorHAnsi" w:cstheme="majorHAnsi"/>
          <w:b/>
          <w:bCs/>
          <w:sz w:val="20"/>
          <w:szCs w:val="20"/>
        </w:rPr>
        <w:t>‘curative’</w:t>
      </w:r>
      <w:r w:rsidR="00E86C2D" w:rsidRPr="00ED1C36">
        <w:rPr>
          <w:rStyle w:val="cf01"/>
          <w:rFonts w:asciiTheme="majorHAnsi" w:hAnsiTheme="majorHAnsi" w:cstheme="majorHAnsi"/>
          <w:sz w:val="20"/>
          <w:szCs w:val="20"/>
        </w:rPr>
        <w:t xml:space="preserve"> in </w:t>
      </w:r>
      <w:r w:rsidR="00342602" w:rsidRPr="00ED1C36">
        <w:rPr>
          <w:rStyle w:val="cf01"/>
          <w:rFonts w:asciiTheme="majorHAnsi" w:hAnsiTheme="majorHAnsi" w:cstheme="majorHAnsi"/>
          <w:sz w:val="20"/>
          <w:szCs w:val="20"/>
        </w:rPr>
        <w:t>a definition of highest unmet medical need would prove unfeasible</w:t>
      </w:r>
      <w:r w:rsidR="00651AFD" w:rsidRPr="00ED1C36">
        <w:rPr>
          <w:rStyle w:val="cf01"/>
          <w:rFonts w:asciiTheme="majorHAnsi" w:hAnsiTheme="majorHAnsi" w:cstheme="majorHAnsi"/>
          <w:sz w:val="20"/>
          <w:szCs w:val="20"/>
        </w:rPr>
        <w:t xml:space="preserve"> due to the lack of data and </w:t>
      </w:r>
      <w:r w:rsidR="00651AFD" w:rsidRPr="00ED1C36">
        <w:rPr>
          <w:rStyle w:val="cf01"/>
          <w:rFonts w:asciiTheme="majorHAnsi" w:hAnsiTheme="majorHAnsi" w:cstheme="majorHAnsi"/>
          <w:b/>
          <w:bCs/>
          <w:sz w:val="20"/>
          <w:szCs w:val="20"/>
        </w:rPr>
        <w:t>uncertainty in making such assessment at time of marketing authorisation</w:t>
      </w:r>
      <w:r w:rsidR="00664A30" w:rsidRPr="00ED1C36">
        <w:rPr>
          <w:rStyle w:val="cf01"/>
          <w:rFonts w:asciiTheme="majorHAnsi" w:hAnsiTheme="majorHAnsi" w:cstheme="majorHAnsi"/>
          <w:b/>
          <w:bCs/>
          <w:sz w:val="20"/>
          <w:szCs w:val="20"/>
        </w:rPr>
        <w:t>.</w:t>
      </w:r>
    </w:p>
    <w:p w14:paraId="19D4262E" w14:textId="470ACAA5" w:rsidR="00D742D8" w:rsidRPr="00AB2E8D" w:rsidRDefault="008F7AC2" w:rsidP="00783D0A">
      <w:pPr>
        <w:jc w:val="both"/>
        <w:rPr>
          <w:rFonts w:asciiTheme="majorHAnsi" w:hAnsiTheme="majorHAnsi" w:cstheme="majorHAnsi"/>
          <w:i/>
          <w:iCs/>
          <w:u w:val="single"/>
        </w:rPr>
      </w:pPr>
      <w:r w:rsidRPr="00AB2E8D">
        <w:rPr>
          <w:rFonts w:asciiTheme="majorHAnsi" w:hAnsiTheme="majorHAnsi" w:cstheme="majorHAnsi"/>
          <w:i/>
          <w:iCs/>
          <w:u w:val="single"/>
        </w:rPr>
        <w:t xml:space="preserve">Modulation should </w:t>
      </w:r>
      <w:r w:rsidR="00FE5FEF" w:rsidRPr="00AB2E8D">
        <w:rPr>
          <w:rFonts w:asciiTheme="majorHAnsi" w:hAnsiTheme="majorHAnsi" w:cstheme="majorHAnsi"/>
          <w:i/>
          <w:iCs/>
          <w:u w:val="single"/>
        </w:rPr>
        <w:t xml:space="preserve">NOT </w:t>
      </w:r>
      <w:r w:rsidRPr="00AB2E8D">
        <w:rPr>
          <w:rFonts w:asciiTheme="majorHAnsi" w:hAnsiTheme="majorHAnsi" w:cstheme="majorHAnsi"/>
          <w:i/>
          <w:iCs/>
          <w:u w:val="single"/>
        </w:rPr>
        <w:t xml:space="preserve">be based on </w:t>
      </w:r>
      <w:r w:rsidR="00FE5FEF" w:rsidRPr="00AB2E8D">
        <w:rPr>
          <w:rFonts w:asciiTheme="majorHAnsi" w:hAnsiTheme="majorHAnsi" w:cstheme="majorHAnsi"/>
          <w:i/>
          <w:iCs/>
          <w:u w:val="single"/>
        </w:rPr>
        <w:t>a restrictive definition of HUMN</w:t>
      </w:r>
      <w:r w:rsidRPr="00AB2E8D">
        <w:rPr>
          <w:rFonts w:asciiTheme="majorHAnsi" w:hAnsiTheme="majorHAnsi" w:cstheme="majorHAnsi"/>
          <w:i/>
          <w:iCs/>
          <w:u w:val="single"/>
        </w:rPr>
        <w:t xml:space="preserve"> </w:t>
      </w:r>
    </w:p>
    <w:p w14:paraId="0B4BC9A9" w14:textId="13A9C46E" w:rsidR="00050B02" w:rsidRPr="00ED1C36" w:rsidRDefault="00F84676" w:rsidP="00016218">
      <w:pPr>
        <w:jc w:val="both"/>
        <w:rPr>
          <w:rFonts w:asciiTheme="majorHAnsi" w:hAnsiTheme="majorHAnsi" w:cstheme="majorHAnsi"/>
        </w:rPr>
      </w:pPr>
      <w:r w:rsidRPr="00ED1C36">
        <w:rPr>
          <w:rFonts w:asciiTheme="majorHAnsi" w:hAnsiTheme="majorHAnsi" w:cstheme="majorHAnsi"/>
        </w:rPr>
        <w:t xml:space="preserve">Beyond the debate on the definition as such, </w:t>
      </w:r>
      <w:r w:rsidR="00AA0D1C" w:rsidRPr="00ED1C36">
        <w:rPr>
          <w:rFonts w:asciiTheme="majorHAnsi" w:hAnsiTheme="majorHAnsi" w:cstheme="majorHAnsi"/>
        </w:rPr>
        <w:t>it is important</w:t>
      </w:r>
      <w:r w:rsidR="00050B02" w:rsidRPr="00ED1C36">
        <w:rPr>
          <w:rFonts w:asciiTheme="majorHAnsi" w:hAnsiTheme="majorHAnsi" w:cstheme="majorHAnsi"/>
        </w:rPr>
        <w:t xml:space="preserve"> to assess </w:t>
      </w:r>
      <w:r w:rsidRPr="00ED1C36">
        <w:rPr>
          <w:rFonts w:asciiTheme="majorHAnsi" w:hAnsiTheme="majorHAnsi" w:cstheme="majorHAnsi"/>
        </w:rPr>
        <w:t>the impact</w:t>
      </w:r>
      <w:r w:rsidR="00AE6BCB" w:rsidRPr="00ED1C36">
        <w:rPr>
          <w:rFonts w:asciiTheme="majorHAnsi" w:hAnsiTheme="majorHAnsi" w:cstheme="majorHAnsi"/>
        </w:rPr>
        <w:t xml:space="preserve"> </w:t>
      </w:r>
      <w:r w:rsidR="00843DCB">
        <w:rPr>
          <w:rFonts w:asciiTheme="majorHAnsi" w:hAnsiTheme="majorHAnsi" w:cstheme="majorHAnsi"/>
        </w:rPr>
        <w:t>of a HUMN definition</w:t>
      </w:r>
      <w:r w:rsidR="00C77650" w:rsidRPr="00ED1C36">
        <w:rPr>
          <w:rFonts w:asciiTheme="majorHAnsi" w:hAnsiTheme="majorHAnsi" w:cstheme="majorHAnsi"/>
        </w:rPr>
        <w:t xml:space="preserve"> in legislation</w:t>
      </w:r>
      <w:r w:rsidR="00050B02" w:rsidRPr="00ED1C36">
        <w:rPr>
          <w:rFonts w:asciiTheme="majorHAnsi" w:hAnsiTheme="majorHAnsi" w:cstheme="majorHAnsi"/>
        </w:rPr>
        <w:t xml:space="preserve">. </w:t>
      </w:r>
    </w:p>
    <w:p w14:paraId="14D63899" w14:textId="67031545" w:rsidR="00850FB8" w:rsidRPr="00ED1C36" w:rsidRDefault="0072748C" w:rsidP="00016218">
      <w:pPr>
        <w:jc w:val="both"/>
        <w:rPr>
          <w:rFonts w:asciiTheme="majorHAnsi" w:hAnsiTheme="majorHAnsi" w:cstheme="majorHAnsi"/>
        </w:rPr>
      </w:pPr>
      <w:r>
        <w:rPr>
          <w:rFonts w:asciiTheme="majorHAnsi" w:hAnsiTheme="majorHAnsi" w:cstheme="majorHAnsi"/>
        </w:rPr>
        <w:t>W</w:t>
      </w:r>
      <w:r w:rsidR="00D33CC1" w:rsidRPr="00ED1C36">
        <w:rPr>
          <w:rFonts w:asciiTheme="majorHAnsi" w:hAnsiTheme="majorHAnsi" w:cstheme="majorHAnsi"/>
        </w:rPr>
        <w:t>e understand</w:t>
      </w:r>
      <w:r>
        <w:rPr>
          <w:rFonts w:asciiTheme="majorHAnsi" w:hAnsiTheme="majorHAnsi" w:cstheme="majorHAnsi"/>
        </w:rPr>
        <w:t xml:space="preserve"> from</w:t>
      </w:r>
      <w:r w:rsidR="00D33CC1" w:rsidRPr="00ED1C36">
        <w:rPr>
          <w:rFonts w:asciiTheme="majorHAnsi" w:hAnsiTheme="majorHAnsi" w:cstheme="majorHAnsi"/>
        </w:rPr>
        <w:t xml:space="preserve"> some of the</w:t>
      </w:r>
      <w:r>
        <w:rPr>
          <w:rFonts w:asciiTheme="majorHAnsi" w:hAnsiTheme="majorHAnsi" w:cstheme="majorHAnsi"/>
        </w:rPr>
        <w:t xml:space="preserve"> Commission’s planned</w:t>
      </w:r>
      <w:r w:rsidR="00D33CC1" w:rsidRPr="00ED1C36">
        <w:rPr>
          <w:rFonts w:asciiTheme="majorHAnsi" w:hAnsiTheme="majorHAnsi" w:cstheme="majorHAnsi"/>
        </w:rPr>
        <w:t xml:space="preserve"> proposal</w:t>
      </w:r>
      <w:r w:rsidR="00484E06">
        <w:rPr>
          <w:rFonts w:asciiTheme="majorHAnsi" w:hAnsiTheme="majorHAnsi" w:cstheme="majorHAnsi"/>
        </w:rPr>
        <w:t>s</w:t>
      </w:r>
      <w:r>
        <w:rPr>
          <w:rFonts w:asciiTheme="majorHAnsi" w:hAnsiTheme="majorHAnsi" w:cstheme="majorHAnsi"/>
        </w:rPr>
        <w:t xml:space="preserve"> that</w:t>
      </w:r>
      <w:r w:rsidR="00D33CC1" w:rsidRPr="00ED1C36">
        <w:rPr>
          <w:rFonts w:asciiTheme="majorHAnsi" w:hAnsiTheme="majorHAnsi" w:cstheme="majorHAnsi"/>
        </w:rPr>
        <w:t xml:space="preserve"> a</w:t>
      </w:r>
      <w:r w:rsidR="00850FB8" w:rsidRPr="00ED1C36">
        <w:rPr>
          <w:rFonts w:asciiTheme="majorHAnsi" w:hAnsiTheme="majorHAnsi" w:cstheme="majorHAnsi"/>
        </w:rPr>
        <w:t xml:space="preserve"> definition of H</w:t>
      </w:r>
      <w:r w:rsidR="00F41128" w:rsidRPr="00ED1C36">
        <w:rPr>
          <w:rFonts w:asciiTheme="majorHAnsi" w:hAnsiTheme="majorHAnsi" w:cstheme="majorHAnsi"/>
        </w:rPr>
        <w:t xml:space="preserve">UMN </w:t>
      </w:r>
      <w:r w:rsidR="00BE593B" w:rsidRPr="00ED1C36">
        <w:rPr>
          <w:rFonts w:asciiTheme="majorHAnsi" w:hAnsiTheme="majorHAnsi" w:cstheme="majorHAnsi"/>
        </w:rPr>
        <w:t>would serve as key criterion to modulate orphan incentives (</w:t>
      </w:r>
      <w:proofErr w:type="gramStart"/>
      <w:r w:rsidR="00BE593B" w:rsidRPr="00ED1C36">
        <w:rPr>
          <w:rFonts w:asciiTheme="majorHAnsi" w:hAnsiTheme="majorHAnsi" w:cstheme="majorHAnsi"/>
        </w:rPr>
        <w:t>i.e.</w:t>
      </w:r>
      <w:proofErr w:type="gramEnd"/>
      <w:r w:rsidR="00BE593B" w:rsidRPr="00ED1C36">
        <w:rPr>
          <w:rFonts w:asciiTheme="majorHAnsi" w:hAnsiTheme="majorHAnsi" w:cstheme="majorHAnsi"/>
        </w:rPr>
        <w:t xml:space="preserve"> market exclusivity or novel incentives provided by the </w:t>
      </w:r>
      <w:r w:rsidR="00104FA5" w:rsidRPr="00ED1C36">
        <w:rPr>
          <w:rFonts w:asciiTheme="majorHAnsi" w:hAnsiTheme="majorHAnsi" w:cstheme="majorHAnsi"/>
        </w:rPr>
        <w:t>R</w:t>
      </w:r>
      <w:r w:rsidR="00BE593B" w:rsidRPr="00ED1C36">
        <w:rPr>
          <w:rFonts w:asciiTheme="majorHAnsi" w:hAnsiTheme="majorHAnsi" w:cstheme="majorHAnsi"/>
        </w:rPr>
        <w:t>egulation)</w:t>
      </w:r>
      <w:r w:rsidR="0069181A">
        <w:rPr>
          <w:rFonts w:asciiTheme="majorHAnsi" w:hAnsiTheme="majorHAnsi" w:cstheme="majorHAnsi"/>
        </w:rPr>
        <w:t>. HUMN would s</w:t>
      </w:r>
      <w:r w:rsidR="007D5F54" w:rsidRPr="00ED1C36">
        <w:rPr>
          <w:rFonts w:asciiTheme="majorHAnsi" w:hAnsiTheme="majorHAnsi" w:cstheme="majorHAnsi"/>
        </w:rPr>
        <w:t>erv</w:t>
      </w:r>
      <w:r w:rsidR="0069181A">
        <w:rPr>
          <w:rFonts w:asciiTheme="majorHAnsi" w:hAnsiTheme="majorHAnsi" w:cstheme="majorHAnsi"/>
        </w:rPr>
        <w:t>e</w:t>
      </w:r>
      <w:r w:rsidR="007D5F54" w:rsidRPr="00ED1C36">
        <w:rPr>
          <w:rFonts w:asciiTheme="majorHAnsi" w:hAnsiTheme="majorHAnsi" w:cstheme="majorHAnsi"/>
        </w:rPr>
        <w:t xml:space="preserve"> as an identifier </w:t>
      </w:r>
      <w:r w:rsidR="00932A36">
        <w:rPr>
          <w:rFonts w:asciiTheme="majorHAnsi" w:hAnsiTheme="majorHAnsi" w:cstheme="majorHAnsi"/>
        </w:rPr>
        <w:t>for a product meriting</w:t>
      </w:r>
      <w:r w:rsidR="007D5F54" w:rsidRPr="00ED1C36">
        <w:rPr>
          <w:rFonts w:asciiTheme="majorHAnsi" w:hAnsiTheme="majorHAnsi" w:cstheme="majorHAnsi"/>
        </w:rPr>
        <w:t xml:space="preserve"> the highest level of </w:t>
      </w:r>
      <w:r w:rsidR="001713A5">
        <w:rPr>
          <w:rFonts w:asciiTheme="majorHAnsi" w:hAnsiTheme="majorHAnsi" w:cstheme="majorHAnsi"/>
        </w:rPr>
        <w:t>incentives</w:t>
      </w:r>
      <w:r w:rsidR="007D5F54" w:rsidRPr="00ED1C36">
        <w:rPr>
          <w:rFonts w:asciiTheme="majorHAnsi" w:hAnsiTheme="majorHAnsi" w:cstheme="majorHAnsi"/>
        </w:rPr>
        <w:t xml:space="preserve"> and therefore</w:t>
      </w:r>
      <w:r w:rsidR="00932A36">
        <w:rPr>
          <w:rFonts w:asciiTheme="majorHAnsi" w:hAnsiTheme="majorHAnsi" w:cstheme="majorHAnsi"/>
        </w:rPr>
        <w:t xml:space="preserve"> also</w:t>
      </w:r>
      <w:r w:rsidR="007D5F54" w:rsidRPr="00ED1C36">
        <w:rPr>
          <w:rFonts w:asciiTheme="majorHAnsi" w:hAnsiTheme="majorHAnsi" w:cstheme="majorHAnsi"/>
        </w:rPr>
        <w:t xml:space="preserve"> influenc</w:t>
      </w:r>
      <w:r w:rsidR="006B2B41">
        <w:rPr>
          <w:rFonts w:asciiTheme="majorHAnsi" w:hAnsiTheme="majorHAnsi" w:cstheme="majorHAnsi"/>
        </w:rPr>
        <w:t xml:space="preserve">e </w:t>
      </w:r>
      <w:r w:rsidR="007D5F54" w:rsidRPr="00ED1C36">
        <w:rPr>
          <w:rFonts w:asciiTheme="majorHAnsi" w:hAnsiTheme="majorHAnsi" w:cstheme="majorHAnsi"/>
        </w:rPr>
        <w:t xml:space="preserve">the </w:t>
      </w:r>
      <w:r w:rsidR="00503105" w:rsidRPr="00ED1C36">
        <w:rPr>
          <w:rFonts w:asciiTheme="majorHAnsi" w:hAnsiTheme="majorHAnsi" w:cstheme="majorHAnsi"/>
        </w:rPr>
        <w:t>investment and development decision</w:t>
      </w:r>
      <w:r w:rsidR="00CE0CDC" w:rsidRPr="00ED1C36">
        <w:rPr>
          <w:rFonts w:asciiTheme="majorHAnsi" w:hAnsiTheme="majorHAnsi" w:cstheme="majorHAnsi"/>
        </w:rPr>
        <w:t>s</w:t>
      </w:r>
      <w:r w:rsidR="00503105" w:rsidRPr="00ED1C36">
        <w:rPr>
          <w:rFonts w:asciiTheme="majorHAnsi" w:hAnsiTheme="majorHAnsi" w:cstheme="majorHAnsi"/>
        </w:rPr>
        <w:t xml:space="preserve"> on other orphan </w:t>
      </w:r>
      <w:r w:rsidR="00134AF4" w:rsidRPr="00ED1C36">
        <w:rPr>
          <w:rFonts w:asciiTheme="majorHAnsi" w:hAnsiTheme="majorHAnsi" w:cstheme="majorHAnsi"/>
        </w:rPr>
        <w:t>product</w:t>
      </w:r>
      <w:r w:rsidR="00CE0CDC" w:rsidRPr="00ED1C36">
        <w:rPr>
          <w:rFonts w:asciiTheme="majorHAnsi" w:hAnsiTheme="majorHAnsi" w:cstheme="majorHAnsi"/>
        </w:rPr>
        <w:t>s</w:t>
      </w:r>
      <w:r w:rsidR="008C1FDB" w:rsidRPr="00ED1C36">
        <w:rPr>
          <w:rFonts w:asciiTheme="majorHAnsi" w:hAnsiTheme="majorHAnsi" w:cstheme="majorHAnsi"/>
        </w:rPr>
        <w:t>. This, in the intention</w:t>
      </w:r>
      <w:r w:rsidR="00115C4A">
        <w:rPr>
          <w:rFonts w:asciiTheme="majorHAnsi" w:hAnsiTheme="majorHAnsi" w:cstheme="majorHAnsi"/>
        </w:rPr>
        <w:t xml:space="preserve"> of</w:t>
      </w:r>
      <w:r w:rsidR="008C1FDB" w:rsidRPr="00ED1C36">
        <w:rPr>
          <w:rFonts w:asciiTheme="majorHAnsi" w:hAnsiTheme="majorHAnsi" w:cstheme="majorHAnsi"/>
        </w:rPr>
        <w:t xml:space="preserve"> the Commission, would </w:t>
      </w:r>
      <w:r w:rsidR="00134AF4" w:rsidRPr="00ED1C36">
        <w:rPr>
          <w:rFonts w:asciiTheme="majorHAnsi" w:hAnsiTheme="majorHAnsi" w:cstheme="majorHAnsi"/>
        </w:rPr>
        <w:t xml:space="preserve">steer investment towards the 95% of diseases without an </w:t>
      </w:r>
      <w:r w:rsidR="007B56B6" w:rsidRPr="00ED1C36">
        <w:rPr>
          <w:rFonts w:asciiTheme="majorHAnsi" w:hAnsiTheme="majorHAnsi" w:cstheme="majorHAnsi"/>
        </w:rPr>
        <w:t>authorised therapeutic option</w:t>
      </w:r>
      <w:r w:rsidR="00503105" w:rsidRPr="00ED1C36">
        <w:rPr>
          <w:rFonts w:asciiTheme="majorHAnsi" w:hAnsiTheme="majorHAnsi" w:cstheme="majorHAnsi"/>
        </w:rPr>
        <w:t>.</w:t>
      </w:r>
      <w:r w:rsidR="001713A5">
        <w:rPr>
          <w:rFonts w:asciiTheme="majorHAnsi" w:hAnsiTheme="majorHAnsi" w:cstheme="majorHAnsi"/>
        </w:rPr>
        <w:t xml:space="preserve"> </w:t>
      </w:r>
    </w:p>
    <w:p w14:paraId="1C15C935" w14:textId="73279306" w:rsidR="00F43792" w:rsidRPr="00ED1C36" w:rsidRDefault="001713A5" w:rsidP="00783D0A">
      <w:pPr>
        <w:jc w:val="both"/>
        <w:rPr>
          <w:rFonts w:asciiTheme="majorHAnsi" w:hAnsiTheme="majorHAnsi" w:cstheme="majorHAnsi"/>
        </w:rPr>
      </w:pPr>
      <w:r>
        <w:rPr>
          <w:rFonts w:asciiTheme="majorHAnsi" w:hAnsiTheme="majorHAnsi" w:cstheme="majorHAnsi"/>
        </w:rPr>
        <w:t xml:space="preserve">However, we don’t believe that the abovementioned proposal will achieve the intended goal. </w:t>
      </w:r>
      <w:r w:rsidR="007B56B6" w:rsidRPr="00ED1C36">
        <w:rPr>
          <w:rFonts w:asciiTheme="majorHAnsi" w:hAnsiTheme="majorHAnsi" w:cstheme="majorHAnsi"/>
        </w:rPr>
        <w:t>Extensive consultation with our membership and the joint work with the patient group EURORDIS</w:t>
      </w:r>
      <w:r w:rsidR="00B71418">
        <w:rPr>
          <w:rFonts w:asciiTheme="majorHAnsi" w:hAnsiTheme="majorHAnsi" w:cstheme="majorHAnsi"/>
        </w:rPr>
        <w:t>,</w:t>
      </w:r>
      <w:r w:rsidR="007B56B6" w:rsidRPr="00ED1C36">
        <w:rPr>
          <w:rFonts w:asciiTheme="majorHAnsi" w:hAnsiTheme="majorHAnsi" w:cstheme="majorHAnsi"/>
        </w:rPr>
        <w:t xml:space="preserve"> and the expert of the Expert Group</w:t>
      </w:r>
      <w:r w:rsidR="00D16F3D">
        <w:rPr>
          <w:rFonts w:asciiTheme="majorHAnsi" w:hAnsiTheme="majorHAnsi" w:cstheme="majorHAnsi"/>
        </w:rPr>
        <w:t xml:space="preserve"> on Orphan Drug Incentives (OD Expert Group)</w:t>
      </w:r>
      <w:r w:rsidR="007B56B6" w:rsidRPr="00ED1C36">
        <w:rPr>
          <w:rFonts w:asciiTheme="majorHAnsi" w:hAnsiTheme="majorHAnsi" w:cstheme="majorHAnsi"/>
        </w:rPr>
        <w:t>, led us to the conclusion that</w:t>
      </w:r>
      <w:r w:rsidR="001461FC" w:rsidRPr="00ED1C36">
        <w:rPr>
          <w:rFonts w:asciiTheme="majorHAnsi" w:hAnsiTheme="majorHAnsi" w:cstheme="majorHAnsi"/>
        </w:rPr>
        <w:t xml:space="preserve">, </w:t>
      </w:r>
      <w:r w:rsidR="001461FC" w:rsidRPr="00ED1C36">
        <w:rPr>
          <w:rFonts w:asciiTheme="majorHAnsi" w:hAnsiTheme="majorHAnsi" w:cstheme="majorHAnsi"/>
          <w:color w:val="000000"/>
        </w:rPr>
        <w:t>i</w:t>
      </w:r>
      <w:r w:rsidR="00F43792" w:rsidRPr="00ED1C36">
        <w:rPr>
          <w:rFonts w:asciiTheme="majorHAnsi" w:hAnsiTheme="majorHAnsi" w:cstheme="majorHAnsi"/>
          <w:color w:val="000000"/>
        </w:rPr>
        <w:t xml:space="preserve">n applying a modulation approach, </w:t>
      </w:r>
      <w:r w:rsidR="001461FC" w:rsidRPr="00ED1C36">
        <w:rPr>
          <w:rFonts w:asciiTheme="majorHAnsi" w:hAnsiTheme="majorHAnsi" w:cstheme="majorHAnsi"/>
          <w:color w:val="000000"/>
        </w:rPr>
        <w:t>it would be</w:t>
      </w:r>
      <w:r w:rsidR="00F43792" w:rsidRPr="00ED1C36">
        <w:rPr>
          <w:rFonts w:asciiTheme="majorHAnsi" w:hAnsiTheme="majorHAnsi" w:cstheme="majorHAnsi"/>
          <w:color w:val="000000"/>
        </w:rPr>
        <w:t xml:space="preserve"> more</w:t>
      </w:r>
      <w:r w:rsidR="0013675C" w:rsidRPr="00ED1C36">
        <w:rPr>
          <w:rFonts w:asciiTheme="majorHAnsi" w:hAnsiTheme="majorHAnsi" w:cstheme="majorHAnsi"/>
          <w:color w:val="000000"/>
        </w:rPr>
        <w:t xml:space="preserve"> </w:t>
      </w:r>
      <w:r w:rsidR="00A95CAD" w:rsidRPr="00ED1C36">
        <w:rPr>
          <w:rFonts w:asciiTheme="majorHAnsi" w:hAnsiTheme="majorHAnsi" w:cstheme="majorHAnsi"/>
        </w:rPr>
        <w:t>effective to use other identifiers</w:t>
      </w:r>
      <w:r w:rsidR="002B3602">
        <w:rPr>
          <w:rFonts w:asciiTheme="majorHAnsi" w:hAnsiTheme="majorHAnsi" w:cstheme="majorHAnsi"/>
        </w:rPr>
        <w:t xml:space="preserve"> to encourage research in the </w:t>
      </w:r>
      <w:r w:rsidR="002B3602">
        <w:rPr>
          <w:rFonts w:asciiTheme="majorHAnsi" w:hAnsiTheme="majorHAnsi" w:cstheme="majorHAnsi"/>
        </w:rPr>
        <w:lastRenderedPageBreak/>
        <w:t>missing 95%</w:t>
      </w:r>
      <w:r w:rsidR="00C57CCA" w:rsidRPr="00ED1C36">
        <w:rPr>
          <w:rFonts w:asciiTheme="majorHAnsi" w:hAnsiTheme="majorHAnsi" w:cstheme="majorHAnsi"/>
        </w:rPr>
        <w:t xml:space="preserve"> </w:t>
      </w:r>
      <w:r w:rsidR="002B3602">
        <w:rPr>
          <w:rFonts w:asciiTheme="majorHAnsi" w:hAnsiTheme="majorHAnsi" w:cstheme="majorHAnsi"/>
        </w:rPr>
        <w:t xml:space="preserve">rather </w:t>
      </w:r>
      <w:r w:rsidR="00C57CCA" w:rsidRPr="00ED1C36">
        <w:rPr>
          <w:rFonts w:asciiTheme="majorHAnsi" w:hAnsiTheme="majorHAnsi" w:cstheme="majorHAnsi"/>
        </w:rPr>
        <w:t>t</w:t>
      </w:r>
      <w:r w:rsidR="00C33799" w:rsidRPr="00ED1C36">
        <w:rPr>
          <w:rFonts w:asciiTheme="majorHAnsi" w:hAnsiTheme="majorHAnsi" w:cstheme="majorHAnsi"/>
        </w:rPr>
        <w:t>han basing the</w:t>
      </w:r>
      <w:r w:rsidR="00D337A0" w:rsidRPr="00ED1C36">
        <w:rPr>
          <w:rFonts w:asciiTheme="majorHAnsi" w:hAnsiTheme="majorHAnsi" w:cstheme="majorHAnsi"/>
        </w:rPr>
        <w:t xml:space="preserve"> level of incentives</w:t>
      </w:r>
      <w:r w:rsidR="00C33799" w:rsidRPr="00ED1C36">
        <w:rPr>
          <w:rFonts w:asciiTheme="majorHAnsi" w:hAnsiTheme="majorHAnsi" w:cstheme="majorHAnsi"/>
        </w:rPr>
        <w:t xml:space="preserve"> on a restrictive definition of </w:t>
      </w:r>
      <w:r w:rsidR="002B3602">
        <w:rPr>
          <w:rFonts w:asciiTheme="majorHAnsi" w:hAnsiTheme="majorHAnsi" w:cstheme="majorHAnsi"/>
        </w:rPr>
        <w:t>HUMN</w:t>
      </w:r>
      <w:r w:rsidR="00C33799" w:rsidRPr="00ED1C36">
        <w:rPr>
          <w:rFonts w:asciiTheme="majorHAnsi" w:hAnsiTheme="majorHAnsi" w:cstheme="majorHAnsi"/>
        </w:rPr>
        <w:t>.</w:t>
      </w:r>
      <w:r w:rsidR="00F43792" w:rsidRPr="00ED1C36">
        <w:rPr>
          <w:rFonts w:asciiTheme="majorHAnsi" w:hAnsiTheme="majorHAnsi" w:cstheme="majorHAnsi"/>
        </w:rPr>
        <w:t xml:space="preserve"> </w:t>
      </w:r>
      <w:r w:rsidR="00C57CCA" w:rsidRPr="00ED1C36">
        <w:rPr>
          <w:rFonts w:asciiTheme="majorHAnsi" w:hAnsiTheme="majorHAnsi" w:cstheme="majorHAnsi"/>
        </w:rPr>
        <w:t>In particular, the group developed a model of incentives based on the ‘investment case’ of an OMP (see next paragraph).</w:t>
      </w:r>
      <w:r w:rsidR="000058F1">
        <w:rPr>
          <w:rFonts w:asciiTheme="majorHAnsi" w:hAnsiTheme="majorHAnsi" w:cstheme="majorHAnsi"/>
        </w:rPr>
        <w:t xml:space="preserve"> </w:t>
      </w:r>
    </w:p>
    <w:p w14:paraId="35289903" w14:textId="77777777" w:rsidR="00DB1A0E" w:rsidRDefault="00DB1A0E" w:rsidP="006537E8">
      <w:pPr>
        <w:pStyle w:val="Default"/>
        <w:spacing w:line="276" w:lineRule="auto"/>
        <w:jc w:val="both"/>
        <w:rPr>
          <w:rFonts w:asciiTheme="majorHAnsi" w:hAnsiTheme="majorHAnsi" w:cstheme="majorHAnsi"/>
          <w:sz w:val="20"/>
          <w:szCs w:val="20"/>
        </w:rPr>
      </w:pPr>
    </w:p>
    <w:p w14:paraId="2E81F2AA" w14:textId="69128F75" w:rsidR="00AB0E6B" w:rsidRPr="00AB2E8D" w:rsidRDefault="00AB0E6B" w:rsidP="00B21DE6">
      <w:pPr>
        <w:pStyle w:val="Default"/>
        <w:spacing w:line="276" w:lineRule="auto"/>
        <w:jc w:val="both"/>
        <w:rPr>
          <w:sz w:val="20"/>
          <w:szCs w:val="20"/>
        </w:rPr>
      </w:pPr>
      <w:r w:rsidRPr="00AB2E8D">
        <w:rPr>
          <w:b/>
          <w:bCs/>
          <w:sz w:val="20"/>
          <w:szCs w:val="20"/>
          <w:lang w:val="en-US"/>
        </w:rPr>
        <w:t>RECOMMENDATION</w:t>
      </w:r>
      <w:r w:rsidRPr="00AB2E8D">
        <w:rPr>
          <w:b/>
          <w:bCs/>
          <w:sz w:val="20"/>
          <w:szCs w:val="20"/>
        </w:rPr>
        <w:t xml:space="preserve"> 5:</w:t>
      </w:r>
      <w:r w:rsidRPr="00AB2E8D">
        <w:rPr>
          <w:sz w:val="20"/>
          <w:szCs w:val="20"/>
        </w:rPr>
        <w:t xml:space="preserve"> </w:t>
      </w:r>
      <w:r w:rsidRPr="00B41679">
        <w:rPr>
          <w:b/>
          <w:bCs/>
          <w:sz w:val="20"/>
          <w:szCs w:val="20"/>
        </w:rPr>
        <w:t>Modulat</w:t>
      </w:r>
      <w:r w:rsidR="00255EFC">
        <w:rPr>
          <w:b/>
          <w:bCs/>
          <w:sz w:val="20"/>
          <w:szCs w:val="20"/>
        </w:rPr>
        <w:t>e</w:t>
      </w:r>
      <w:r w:rsidRPr="00B41679">
        <w:rPr>
          <w:b/>
          <w:bCs/>
          <w:sz w:val="20"/>
          <w:szCs w:val="20"/>
        </w:rPr>
        <w:t xml:space="preserve"> Orphan incentives through the lens of</w:t>
      </w:r>
      <w:r w:rsidR="000D70D0">
        <w:rPr>
          <w:b/>
          <w:bCs/>
          <w:sz w:val="20"/>
          <w:szCs w:val="20"/>
        </w:rPr>
        <w:t xml:space="preserve"> the probability of success </w:t>
      </w:r>
      <w:proofErr w:type="gramStart"/>
      <w:r w:rsidR="000D70D0">
        <w:rPr>
          <w:b/>
          <w:bCs/>
          <w:sz w:val="20"/>
          <w:szCs w:val="20"/>
        </w:rPr>
        <w:t>i.e.</w:t>
      </w:r>
      <w:proofErr w:type="gramEnd"/>
      <w:r w:rsidRPr="00B41679">
        <w:rPr>
          <w:b/>
          <w:bCs/>
          <w:sz w:val="20"/>
          <w:szCs w:val="20"/>
        </w:rPr>
        <w:t xml:space="preserve"> the investment case</w:t>
      </w:r>
      <w:r w:rsidR="000D70D0">
        <w:rPr>
          <w:b/>
          <w:bCs/>
          <w:sz w:val="20"/>
          <w:szCs w:val="20"/>
        </w:rPr>
        <w:t>,</w:t>
      </w:r>
      <w:r w:rsidRPr="00B41679">
        <w:rPr>
          <w:b/>
          <w:bCs/>
          <w:sz w:val="20"/>
          <w:szCs w:val="20"/>
        </w:rPr>
        <w:t xml:space="preserve"> rather than through a ranking of unmet needs. This, along with policy initiatives that go beyond the OMP regulation, such as public private partnerships, can help addressing </w:t>
      </w:r>
      <w:proofErr w:type="gramStart"/>
      <w:r w:rsidRPr="00B41679">
        <w:rPr>
          <w:b/>
          <w:bCs/>
          <w:sz w:val="20"/>
          <w:szCs w:val="20"/>
        </w:rPr>
        <w:t>in particular the</w:t>
      </w:r>
      <w:proofErr w:type="gramEnd"/>
      <w:r w:rsidRPr="00B41679">
        <w:rPr>
          <w:b/>
          <w:bCs/>
          <w:sz w:val="20"/>
          <w:szCs w:val="20"/>
        </w:rPr>
        <w:t xml:space="preserve"> 95% of rare diseases without an approved treatment.</w:t>
      </w:r>
    </w:p>
    <w:p w14:paraId="5AC09EB0" w14:textId="77777777" w:rsidR="00AB0E6B" w:rsidRDefault="00AB0E6B" w:rsidP="006537E8">
      <w:pPr>
        <w:pStyle w:val="Default"/>
        <w:spacing w:line="276" w:lineRule="auto"/>
        <w:jc w:val="both"/>
      </w:pPr>
    </w:p>
    <w:p w14:paraId="6616270A" w14:textId="54584E4C" w:rsidR="00EA1855" w:rsidRDefault="00455E4F" w:rsidP="006537E8">
      <w:pPr>
        <w:pStyle w:val="Default"/>
        <w:spacing w:line="276" w:lineRule="auto"/>
        <w:jc w:val="both"/>
        <w:rPr>
          <w:rFonts w:asciiTheme="majorHAnsi" w:hAnsiTheme="majorHAnsi" w:cstheme="majorHAnsi"/>
          <w:color w:val="auto"/>
          <w:sz w:val="20"/>
          <w:szCs w:val="20"/>
        </w:rPr>
      </w:pPr>
      <w:r w:rsidRPr="00ED1C36">
        <w:rPr>
          <w:rFonts w:asciiTheme="majorHAnsi" w:hAnsiTheme="majorHAnsi" w:cstheme="majorHAnsi"/>
          <w:sz w:val="20"/>
          <w:szCs w:val="20"/>
        </w:rPr>
        <w:t>Modulation</w:t>
      </w:r>
      <w:r w:rsidR="009E4503">
        <w:rPr>
          <w:rFonts w:asciiTheme="majorHAnsi" w:hAnsiTheme="majorHAnsi" w:cstheme="majorHAnsi"/>
          <w:sz w:val="20"/>
          <w:szCs w:val="20"/>
        </w:rPr>
        <w:t xml:space="preserve"> of the market exclusivity awarded to orphan therapies</w:t>
      </w:r>
      <w:r w:rsidRPr="00ED1C36">
        <w:rPr>
          <w:rFonts w:asciiTheme="majorHAnsi" w:hAnsiTheme="majorHAnsi" w:cstheme="majorHAnsi"/>
          <w:sz w:val="20"/>
          <w:szCs w:val="20"/>
        </w:rPr>
        <w:t xml:space="preserve"> should be based on the investment case for </w:t>
      </w:r>
      <w:r w:rsidR="00887C09">
        <w:rPr>
          <w:rFonts w:asciiTheme="majorHAnsi" w:hAnsiTheme="majorHAnsi" w:cstheme="majorHAnsi"/>
          <w:sz w:val="20"/>
          <w:szCs w:val="20"/>
        </w:rPr>
        <w:t>conducting</w:t>
      </w:r>
      <w:r w:rsidR="00887C09" w:rsidRPr="00ED1C36">
        <w:rPr>
          <w:rFonts w:asciiTheme="majorHAnsi" w:hAnsiTheme="majorHAnsi" w:cstheme="majorHAnsi"/>
          <w:sz w:val="20"/>
          <w:szCs w:val="20"/>
        </w:rPr>
        <w:t xml:space="preserve"> </w:t>
      </w:r>
      <w:r w:rsidRPr="00ED1C36">
        <w:rPr>
          <w:rFonts w:asciiTheme="majorHAnsi" w:hAnsiTheme="majorHAnsi" w:cstheme="majorHAnsi"/>
          <w:sz w:val="20"/>
          <w:szCs w:val="20"/>
        </w:rPr>
        <w:t xml:space="preserve">research and development </w:t>
      </w:r>
      <w:r w:rsidR="00887C09">
        <w:rPr>
          <w:rFonts w:asciiTheme="majorHAnsi" w:hAnsiTheme="majorHAnsi" w:cstheme="majorHAnsi"/>
          <w:sz w:val="20"/>
          <w:szCs w:val="20"/>
        </w:rPr>
        <w:t>of</w:t>
      </w:r>
      <w:r w:rsidRPr="00ED1C36">
        <w:rPr>
          <w:rFonts w:asciiTheme="majorHAnsi" w:hAnsiTheme="majorHAnsi" w:cstheme="majorHAnsi"/>
          <w:sz w:val="20"/>
          <w:szCs w:val="20"/>
        </w:rPr>
        <w:t xml:space="preserve"> a specific</w:t>
      </w:r>
      <w:r w:rsidR="00887C09">
        <w:rPr>
          <w:rFonts w:asciiTheme="majorHAnsi" w:hAnsiTheme="majorHAnsi" w:cstheme="majorHAnsi"/>
          <w:sz w:val="20"/>
          <w:szCs w:val="20"/>
        </w:rPr>
        <w:t xml:space="preserve"> therapy for</w:t>
      </w:r>
      <w:r w:rsidRPr="00ED1C36">
        <w:rPr>
          <w:rFonts w:asciiTheme="majorHAnsi" w:hAnsiTheme="majorHAnsi" w:cstheme="majorHAnsi"/>
          <w:sz w:val="20"/>
          <w:szCs w:val="20"/>
        </w:rPr>
        <w:t xml:space="preserve"> rare disease or disease area</w:t>
      </w:r>
      <w:r w:rsidR="00501CC4" w:rsidRPr="00ED1C36">
        <w:rPr>
          <w:rFonts w:asciiTheme="majorHAnsi" w:hAnsiTheme="majorHAnsi" w:cstheme="majorHAnsi"/>
          <w:color w:val="auto"/>
          <w:sz w:val="20"/>
          <w:szCs w:val="20"/>
        </w:rPr>
        <w:t>.</w:t>
      </w:r>
      <w:r w:rsidRPr="00ED1C36">
        <w:rPr>
          <w:rFonts w:asciiTheme="majorHAnsi" w:hAnsiTheme="majorHAnsi" w:cstheme="majorHAnsi"/>
          <w:sz w:val="20"/>
          <w:szCs w:val="20"/>
        </w:rPr>
        <w:t xml:space="preserve"> </w:t>
      </w:r>
      <w:r w:rsidR="00E67027" w:rsidRPr="00ED1C36">
        <w:rPr>
          <w:rFonts w:asciiTheme="majorHAnsi" w:hAnsiTheme="majorHAnsi" w:cstheme="majorHAnsi"/>
          <w:color w:val="auto"/>
          <w:sz w:val="20"/>
          <w:szCs w:val="20"/>
        </w:rPr>
        <w:t>Rather than attempt to ‘rank’ unmet medical needs, that exist across the whole spectrum o</w:t>
      </w:r>
      <w:r w:rsidR="00887C09">
        <w:rPr>
          <w:rFonts w:asciiTheme="majorHAnsi" w:hAnsiTheme="majorHAnsi" w:cstheme="majorHAnsi"/>
          <w:color w:val="auto"/>
          <w:sz w:val="20"/>
          <w:szCs w:val="20"/>
        </w:rPr>
        <w:t>f</w:t>
      </w:r>
      <w:r w:rsidR="00E67027" w:rsidRPr="00ED1C36">
        <w:rPr>
          <w:rFonts w:asciiTheme="majorHAnsi" w:hAnsiTheme="majorHAnsi" w:cstheme="majorHAnsi"/>
          <w:color w:val="auto"/>
          <w:sz w:val="20"/>
          <w:szCs w:val="20"/>
        </w:rPr>
        <w:t xml:space="preserve"> rare diseases</w:t>
      </w:r>
      <w:r w:rsidR="00A0706A">
        <w:rPr>
          <w:rFonts w:asciiTheme="majorHAnsi" w:hAnsiTheme="majorHAnsi" w:cstheme="majorHAnsi"/>
          <w:color w:val="auto"/>
          <w:sz w:val="20"/>
          <w:szCs w:val="20"/>
        </w:rPr>
        <w:t>.</w:t>
      </w:r>
    </w:p>
    <w:p w14:paraId="5A75B9D1" w14:textId="77777777" w:rsidR="00A0706A" w:rsidRDefault="00A0706A" w:rsidP="006537E8">
      <w:pPr>
        <w:pStyle w:val="Default"/>
        <w:spacing w:line="276" w:lineRule="auto"/>
        <w:jc w:val="both"/>
        <w:rPr>
          <w:rFonts w:asciiTheme="majorHAnsi" w:hAnsiTheme="majorHAnsi" w:cstheme="majorHAnsi"/>
          <w:color w:val="auto"/>
          <w:sz w:val="20"/>
          <w:szCs w:val="20"/>
        </w:rPr>
      </w:pPr>
    </w:p>
    <w:p w14:paraId="77AA63B7" w14:textId="3967BE3D" w:rsidR="009C49E5" w:rsidRPr="00ED1C36" w:rsidRDefault="00EA1855" w:rsidP="006537E8">
      <w:pPr>
        <w:pStyle w:val="Default"/>
        <w:spacing w:line="276" w:lineRule="auto"/>
        <w:jc w:val="both"/>
        <w:rPr>
          <w:rFonts w:asciiTheme="majorHAnsi" w:hAnsiTheme="majorHAnsi" w:cstheme="majorHAnsi"/>
          <w:color w:val="auto"/>
          <w:sz w:val="20"/>
          <w:szCs w:val="20"/>
        </w:rPr>
      </w:pPr>
      <w:r>
        <w:rPr>
          <w:rFonts w:asciiTheme="majorHAnsi" w:hAnsiTheme="majorHAnsi" w:cstheme="majorHAnsi"/>
          <w:color w:val="auto"/>
          <w:sz w:val="20"/>
          <w:szCs w:val="20"/>
        </w:rPr>
        <w:t>T</w:t>
      </w:r>
      <w:r w:rsidR="00455E4F" w:rsidRPr="00ED1C36">
        <w:rPr>
          <w:rFonts w:asciiTheme="majorHAnsi" w:hAnsiTheme="majorHAnsi" w:cstheme="majorHAnsi"/>
          <w:sz w:val="20"/>
          <w:szCs w:val="20"/>
        </w:rPr>
        <w:t>he approach</w:t>
      </w:r>
      <w:r w:rsidR="008760B3" w:rsidRPr="00ED1C36">
        <w:rPr>
          <w:rFonts w:asciiTheme="majorHAnsi" w:hAnsiTheme="majorHAnsi" w:cstheme="majorHAnsi"/>
          <w:color w:val="auto"/>
          <w:sz w:val="20"/>
          <w:szCs w:val="20"/>
        </w:rPr>
        <w:t xml:space="preserve"> developed by the OD Expert Group</w:t>
      </w:r>
      <w:r w:rsidR="00455E4F" w:rsidRPr="00ED1C36">
        <w:rPr>
          <w:rFonts w:asciiTheme="majorHAnsi" w:hAnsiTheme="majorHAnsi" w:cstheme="majorHAnsi"/>
          <w:sz w:val="20"/>
          <w:szCs w:val="20"/>
        </w:rPr>
        <w:t xml:space="preserve"> </w:t>
      </w:r>
      <w:r w:rsidR="006537E8" w:rsidRPr="00ED1C36">
        <w:rPr>
          <w:rFonts w:asciiTheme="majorHAnsi" w:hAnsiTheme="majorHAnsi" w:cstheme="majorHAnsi"/>
          <w:color w:val="auto"/>
          <w:sz w:val="20"/>
          <w:szCs w:val="20"/>
        </w:rPr>
        <w:t>propose</w:t>
      </w:r>
      <w:r w:rsidR="00337300">
        <w:rPr>
          <w:rFonts w:asciiTheme="majorHAnsi" w:hAnsiTheme="majorHAnsi" w:cstheme="majorHAnsi"/>
          <w:color w:val="auto"/>
          <w:sz w:val="20"/>
          <w:szCs w:val="20"/>
        </w:rPr>
        <w:t>s</w:t>
      </w:r>
      <w:r w:rsidR="006537E8" w:rsidRPr="00ED1C36">
        <w:rPr>
          <w:rFonts w:asciiTheme="majorHAnsi" w:hAnsiTheme="majorHAnsi" w:cstheme="majorHAnsi"/>
          <w:color w:val="auto"/>
          <w:sz w:val="20"/>
          <w:szCs w:val="20"/>
        </w:rPr>
        <w:t xml:space="preserve"> to modulate </w:t>
      </w:r>
      <w:r w:rsidR="0004331D">
        <w:rPr>
          <w:rFonts w:asciiTheme="majorHAnsi" w:hAnsiTheme="majorHAnsi" w:cstheme="majorHAnsi"/>
          <w:color w:val="auto"/>
          <w:sz w:val="20"/>
          <w:szCs w:val="20"/>
        </w:rPr>
        <w:t xml:space="preserve">incentives </w:t>
      </w:r>
      <w:proofErr w:type="gramStart"/>
      <w:r w:rsidR="0004331D">
        <w:rPr>
          <w:rFonts w:asciiTheme="majorHAnsi" w:hAnsiTheme="majorHAnsi" w:cstheme="majorHAnsi"/>
          <w:color w:val="auto"/>
          <w:sz w:val="20"/>
          <w:szCs w:val="20"/>
        </w:rPr>
        <w:t>on the basis of</w:t>
      </w:r>
      <w:proofErr w:type="gramEnd"/>
      <w:r w:rsidR="006537E8" w:rsidRPr="00ED1C36">
        <w:rPr>
          <w:rFonts w:asciiTheme="majorHAnsi" w:hAnsiTheme="majorHAnsi" w:cstheme="majorHAnsi"/>
          <w:color w:val="auto"/>
          <w:sz w:val="20"/>
          <w:szCs w:val="20"/>
        </w:rPr>
        <w:t xml:space="preserve"> the following criteria</w:t>
      </w:r>
      <w:r w:rsidR="008760B3" w:rsidRPr="00ED1C36">
        <w:rPr>
          <w:rFonts w:asciiTheme="majorHAnsi" w:hAnsiTheme="majorHAnsi" w:cstheme="majorHAnsi"/>
          <w:color w:val="auto"/>
          <w:sz w:val="20"/>
          <w:szCs w:val="20"/>
        </w:rPr>
        <w:t>:</w:t>
      </w:r>
      <w:r w:rsidR="00455E4F" w:rsidRPr="00ED1C36">
        <w:rPr>
          <w:rFonts w:asciiTheme="majorHAnsi" w:hAnsiTheme="majorHAnsi" w:cstheme="majorHAnsi"/>
          <w:color w:val="auto"/>
          <w:sz w:val="20"/>
          <w:szCs w:val="20"/>
        </w:rPr>
        <w:t xml:space="preserve"> </w:t>
      </w:r>
    </w:p>
    <w:p w14:paraId="30B42BE8" w14:textId="627C6E7B" w:rsidR="009C49E5" w:rsidRPr="00ED1C36" w:rsidRDefault="00B86AD7" w:rsidP="00FC11ED">
      <w:pPr>
        <w:pStyle w:val="Default"/>
        <w:numPr>
          <w:ilvl w:val="0"/>
          <w:numId w:val="20"/>
        </w:numPr>
        <w:spacing w:line="276" w:lineRule="auto"/>
        <w:jc w:val="both"/>
        <w:rPr>
          <w:rFonts w:asciiTheme="majorHAnsi" w:hAnsiTheme="majorHAnsi" w:cstheme="majorHAnsi"/>
          <w:color w:val="auto"/>
          <w:sz w:val="20"/>
          <w:szCs w:val="20"/>
        </w:rPr>
      </w:pPr>
      <w:r>
        <w:rPr>
          <w:rFonts w:asciiTheme="majorHAnsi" w:hAnsiTheme="majorHAnsi" w:cstheme="majorHAnsi"/>
          <w:color w:val="auto"/>
          <w:sz w:val="20"/>
          <w:szCs w:val="20"/>
        </w:rPr>
        <w:t xml:space="preserve">Some </w:t>
      </w:r>
      <w:r w:rsidR="00455E4F" w:rsidRPr="00ED1C36">
        <w:rPr>
          <w:rFonts w:asciiTheme="majorHAnsi" w:hAnsiTheme="majorHAnsi" w:cstheme="majorHAnsi"/>
          <w:color w:val="auto"/>
          <w:sz w:val="20"/>
          <w:szCs w:val="20"/>
        </w:rPr>
        <w:t>development-ready research exists</w:t>
      </w:r>
      <w:r>
        <w:rPr>
          <w:rFonts w:asciiTheme="majorHAnsi" w:hAnsiTheme="majorHAnsi" w:cstheme="majorHAnsi"/>
          <w:color w:val="auto"/>
          <w:sz w:val="20"/>
          <w:szCs w:val="20"/>
        </w:rPr>
        <w:t xml:space="preserve"> but no product </w:t>
      </w:r>
      <w:r w:rsidR="00252977">
        <w:rPr>
          <w:rFonts w:asciiTheme="majorHAnsi" w:hAnsiTheme="majorHAnsi" w:cstheme="majorHAnsi"/>
          <w:color w:val="auto"/>
          <w:sz w:val="20"/>
          <w:szCs w:val="20"/>
        </w:rPr>
        <w:t xml:space="preserve">is </w:t>
      </w:r>
      <w:r>
        <w:rPr>
          <w:rFonts w:asciiTheme="majorHAnsi" w:hAnsiTheme="majorHAnsi" w:cstheme="majorHAnsi"/>
          <w:color w:val="auto"/>
          <w:sz w:val="20"/>
          <w:szCs w:val="20"/>
        </w:rPr>
        <w:t>yet on the market</w:t>
      </w:r>
      <w:r w:rsidR="003D50E9">
        <w:rPr>
          <w:rFonts w:asciiTheme="majorHAnsi" w:hAnsiTheme="majorHAnsi" w:cstheme="majorHAnsi"/>
          <w:color w:val="auto"/>
          <w:sz w:val="20"/>
          <w:szCs w:val="20"/>
        </w:rPr>
        <w:t xml:space="preserve"> = </w:t>
      </w:r>
      <w:r w:rsidR="00347177">
        <w:rPr>
          <w:rFonts w:asciiTheme="majorHAnsi" w:hAnsiTheme="majorHAnsi" w:cstheme="majorHAnsi"/>
          <w:color w:val="auto"/>
          <w:sz w:val="20"/>
          <w:szCs w:val="20"/>
        </w:rPr>
        <w:t xml:space="preserve">increase the </w:t>
      </w:r>
      <w:r w:rsidR="001118C6">
        <w:rPr>
          <w:rFonts w:asciiTheme="majorHAnsi" w:hAnsiTheme="majorHAnsi" w:cstheme="majorHAnsi"/>
          <w:color w:val="auto"/>
          <w:sz w:val="20"/>
          <w:szCs w:val="20"/>
        </w:rPr>
        <w:t xml:space="preserve">level of </w:t>
      </w:r>
      <w:r w:rsidR="00347177">
        <w:rPr>
          <w:rFonts w:asciiTheme="majorHAnsi" w:hAnsiTheme="majorHAnsi" w:cstheme="majorHAnsi"/>
          <w:color w:val="auto"/>
          <w:sz w:val="20"/>
          <w:szCs w:val="20"/>
        </w:rPr>
        <w:t>incentives</w:t>
      </w:r>
    </w:p>
    <w:p w14:paraId="56F48E20" w14:textId="09DEACDF" w:rsidR="009C49E5" w:rsidRPr="00ED1C36" w:rsidRDefault="001118C6" w:rsidP="00FC11ED">
      <w:pPr>
        <w:pStyle w:val="Default"/>
        <w:numPr>
          <w:ilvl w:val="0"/>
          <w:numId w:val="20"/>
        </w:numPr>
        <w:spacing w:line="276" w:lineRule="auto"/>
        <w:jc w:val="both"/>
        <w:rPr>
          <w:rFonts w:asciiTheme="majorHAnsi" w:hAnsiTheme="majorHAnsi" w:cstheme="majorHAnsi"/>
          <w:color w:val="auto"/>
          <w:sz w:val="20"/>
          <w:szCs w:val="20"/>
        </w:rPr>
      </w:pPr>
      <w:r>
        <w:rPr>
          <w:rFonts w:asciiTheme="majorHAnsi" w:hAnsiTheme="majorHAnsi" w:cstheme="majorHAnsi"/>
          <w:sz w:val="20"/>
          <w:szCs w:val="20"/>
        </w:rPr>
        <w:t>D</w:t>
      </w:r>
      <w:r w:rsidR="00455E4F" w:rsidRPr="00ED1C36">
        <w:rPr>
          <w:rFonts w:asciiTheme="majorHAnsi" w:hAnsiTheme="majorHAnsi" w:cstheme="majorHAnsi"/>
          <w:sz w:val="20"/>
          <w:szCs w:val="20"/>
        </w:rPr>
        <w:t xml:space="preserve">evelopment projects for which there is disease knowledge and some research activity but no </w:t>
      </w:r>
      <w:r w:rsidR="0080213E">
        <w:rPr>
          <w:rFonts w:asciiTheme="majorHAnsi" w:hAnsiTheme="majorHAnsi" w:cstheme="majorHAnsi"/>
          <w:sz w:val="20"/>
          <w:szCs w:val="20"/>
        </w:rPr>
        <w:t>established</w:t>
      </w:r>
      <w:r w:rsidR="00455E4F" w:rsidRPr="00ED1C36">
        <w:rPr>
          <w:rFonts w:asciiTheme="majorHAnsi" w:hAnsiTheme="majorHAnsi" w:cstheme="majorHAnsi"/>
          <w:sz w:val="20"/>
          <w:szCs w:val="20"/>
        </w:rPr>
        <w:t xml:space="preserve"> market</w:t>
      </w:r>
      <w:r w:rsidR="000D70D0">
        <w:rPr>
          <w:rFonts w:asciiTheme="majorHAnsi" w:hAnsiTheme="majorHAnsi" w:cstheme="majorHAnsi"/>
          <w:sz w:val="20"/>
          <w:szCs w:val="20"/>
        </w:rPr>
        <w:t xml:space="preserve">, </w:t>
      </w:r>
      <w:proofErr w:type="gramStart"/>
      <w:r w:rsidR="000D70D0">
        <w:rPr>
          <w:rFonts w:asciiTheme="majorHAnsi" w:hAnsiTheme="majorHAnsi" w:cstheme="majorHAnsi"/>
          <w:sz w:val="20"/>
          <w:szCs w:val="20"/>
        </w:rPr>
        <w:t>e.g.</w:t>
      </w:r>
      <w:proofErr w:type="gramEnd"/>
      <w:r w:rsidR="000D70D0">
        <w:rPr>
          <w:rFonts w:asciiTheme="majorHAnsi" w:hAnsiTheme="majorHAnsi" w:cstheme="majorHAnsi"/>
          <w:sz w:val="20"/>
          <w:szCs w:val="20"/>
        </w:rPr>
        <w:t xml:space="preserve"> some sub-populations are underserved or the product is a new technology/</w:t>
      </w:r>
      <w:proofErr w:type="spellStart"/>
      <w:r w:rsidR="000D70D0">
        <w:rPr>
          <w:rFonts w:asciiTheme="majorHAnsi" w:hAnsiTheme="majorHAnsi" w:cstheme="majorHAnsi"/>
          <w:sz w:val="20"/>
          <w:szCs w:val="20"/>
        </w:rPr>
        <w:t>MoA</w:t>
      </w:r>
      <w:proofErr w:type="spellEnd"/>
      <w:r w:rsidR="003D50E9">
        <w:rPr>
          <w:rFonts w:asciiTheme="majorHAnsi" w:hAnsiTheme="majorHAnsi" w:cstheme="majorHAnsi"/>
          <w:color w:val="auto"/>
          <w:sz w:val="20"/>
          <w:szCs w:val="20"/>
        </w:rPr>
        <w:t xml:space="preserve"> = </w:t>
      </w:r>
      <w:r w:rsidR="009D16A5">
        <w:rPr>
          <w:rFonts w:asciiTheme="majorHAnsi" w:hAnsiTheme="majorHAnsi" w:cstheme="majorHAnsi"/>
          <w:color w:val="auto"/>
          <w:sz w:val="20"/>
          <w:szCs w:val="20"/>
        </w:rPr>
        <w:t>maintain the current level of incentives</w:t>
      </w:r>
    </w:p>
    <w:p w14:paraId="2CFFCD68" w14:textId="44919905" w:rsidR="00E262A6" w:rsidRPr="00E262A6" w:rsidRDefault="00455E4F" w:rsidP="00FC11ED">
      <w:pPr>
        <w:pStyle w:val="Default"/>
        <w:numPr>
          <w:ilvl w:val="0"/>
          <w:numId w:val="20"/>
        </w:numPr>
        <w:spacing w:line="276" w:lineRule="auto"/>
        <w:jc w:val="both"/>
        <w:rPr>
          <w:rFonts w:asciiTheme="majorHAnsi" w:hAnsiTheme="majorHAnsi" w:cstheme="majorHAnsi"/>
          <w:color w:val="auto"/>
          <w:sz w:val="20"/>
          <w:szCs w:val="20"/>
        </w:rPr>
      </w:pPr>
      <w:r w:rsidRPr="00ED1C36">
        <w:rPr>
          <w:rFonts w:asciiTheme="majorHAnsi" w:hAnsiTheme="majorHAnsi" w:cstheme="majorHAnsi"/>
          <w:color w:val="auto"/>
          <w:sz w:val="20"/>
          <w:szCs w:val="20"/>
        </w:rPr>
        <w:t>Development projects for which there is already a</w:t>
      </w:r>
      <w:r w:rsidR="00252977">
        <w:rPr>
          <w:rFonts w:asciiTheme="majorHAnsi" w:hAnsiTheme="majorHAnsi" w:cstheme="majorHAnsi"/>
          <w:color w:val="auto"/>
          <w:sz w:val="20"/>
          <w:szCs w:val="20"/>
        </w:rPr>
        <w:t>n established</w:t>
      </w:r>
      <w:r w:rsidRPr="00ED1C36">
        <w:rPr>
          <w:rFonts w:asciiTheme="majorHAnsi" w:hAnsiTheme="majorHAnsi" w:cstheme="majorHAnsi"/>
          <w:color w:val="auto"/>
          <w:sz w:val="20"/>
          <w:szCs w:val="20"/>
        </w:rPr>
        <w:t xml:space="preserve"> market</w:t>
      </w:r>
      <w:r w:rsidR="00252977">
        <w:rPr>
          <w:rFonts w:asciiTheme="majorHAnsi" w:hAnsiTheme="majorHAnsi" w:cstheme="majorHAnsi"/>
          <w:color w:val="auto"/>
          <w:sz w:val="20"/>
          <w:szCs w:val="20"/>
        </w:rPr>
        <w:t>, e.g.</w:t>
      </w:r>
      <w:r w:rsidR="003D50E9">
        <w:rPr>
          <w:rFonts w:asciiTheme="majorHAnsi" w:hAnsiTheme="majorHAnsi" w:cstheme="majorHAnsi"/>
          <w:color w:val="auto"/>
          <w:sz w:val="20"/>
          <w:szCs w:val="20"/>
        </w:rPr>
        <w:t>,</w:t>
      </w:r>
      <w:r w:rsidR="00252977">
        <w:rPr>
          <w:rFonts w:asciiTheme="majorHAnsi" w:hAnsiTheme="majorHAnsi" w:cstheme="majorHAnsi"/>
          <w:color w:val="auto"/>
          <w:sz w:val="20"/>
          <w:szCs w:val="20"/>
        </w:rPr>
        <w:t xml:space="preserve"> more than three products</w:t>
      </w:r>
      <w:r w:rsidR="009E0F69">
        <w:rPr>
          <w:rFonts w:asciiTheme="majorHAnsi" w:hAnsiTheme="majorHAnsi" w:cstheme="majorHAnsi"/>
          <w:color w:val="auto"/>
          <w:sz w:val="20"/>
          <w:szCs w:val="20"/>
        </w:rPr>
        <w:t xml:space="preserve"> addressing the same rare disease’</w:t>
      </w:r>
      <w:r w:rsidR="00252977">
        <w:rPr>
          <w:rFonts w:asciiTheme="majorHAnsi" w:hAnsiTheme="majorHAnsi" w:cstheme="majorHAnsi"/>
          <w:color w:val="auto"/>
          <w:sz w:val="20"/>
          <w:szCs w:val="20"/>
        </w:rPr>
        <w:t xml:space="preserve"> subpopulation</w:t>
      </w:r>
      <w:r w:rsidRPr="00ED1C36">
        <w:rPr>
          <w:rFonts w:asciiTheme="majorHAnsi" w:hAnsiTheme="majorHAnsi" w:cstheme="majorHAnsi"/>
          <w:color w:val="auto"/>
          <w:sz w:val="20"/>
          <w:szCs w:val="20"/>
        </w:rPr>
        <w:t xml:space="preserve"> </w:t>
      </w:r>
      <w:r w:rsidR="003D50E9">
        <w:rPr>
          <w:rFonts w:asciiTheme="majorHAnsi" w:hAnsiTheme="majorHAnsi" w:cstheme="majorHAnsi"/>
          <w:color w:val="auto"/>
          <w:sz w:val="20"/>
          <w:szCs w:val="20"/>
        </w:rPr>
        <w:t xml:space="preserve">= </w:t>
      </w:r>
      <w:r w:rsidR="00991CDB" w:rsidRPr="00ED1C36">
        <w:rPr>
          <w:rFonts w:asciiTheme="majorHAnsi" w:hAnsiTheme="majorHAnsi" w:cstheme="majorHAnsi"/>
          <w:color w:val="auto"/>
          <w:sz w:val="20"/>
          <w:szCs w:val="20"/>
        </w:rPr>
        <w:t>carefully decrease</w:t>
      </w:r>
      <w:r w:rsidR="00925E1E" w:rsidRPr="00ED1C36">
        <w:rPr>
          <w:rFonts w:asciiTheme="majorHAnsi" w:hAnsiTheme="majorHAnsi" w:cstheme="majorHAnsi"/>
          <w:color w:val="auto"/>
          <w:sz w:val="20"/>
          <w:szCs w:val="20"/>
        </w:rPr>
        <w:t xml:space="preserve"> incentives, yet not discouraging innovation in these areas</w:t>
      </w:r>
      <w:r w:rsidR="00DD566F">
        <w:rPr>
          <w:rFonts w:asciiTheme="majorHAnsi" w:hAnsiTheme="majorHAnsi" w:cstheme="majorHAnsi"/>
          <w:color w:val="auto"/>
          <w:sz w:val="20"/>
          <w:szCs w:val="20"/>
        </w:rPr>
        <w:t xml:space="preserve"> in the long run</w:t>
      </w:r>
    </w:p>
    <w:p w14:paraId="3F61BEC3" w14:textId="6FE99661" w:rsidR="007C0A2C" w:rsidRPr="00255EFC" w:rsidRDefault="00E02481" w:rsidP="00783D0A">
      <w:pPr>
        <w:jc w:val="both"/>
        <w:rPr>
          <w:rFonts w:asciiTheme="majorHAnsi" w:hAnsiTheme="majorHAnsi" w:cstheme="majorHAnsi"/>
          <w:i/>
          <w:iCs/>
        </w:rPr>
      </w:pPr>
      <w:r w:rsidRPr="00255EFC">
        <w:rPr>
          <w:rFonts w:asciiTheme="majorHAnsi" w:hAnsiTheme="majorHAnsi" w:cstheme="majorHAnsi"/>
          <w:i/>
          <w:iCs/>
          <w:u w:val="single"/>
        </w:rPr>
        <w:t>The rationale of the investment case approach</w:t>
      </w:r>
    </w:p>
    <w:p w14:paraId="4C35AF30" w14:textId="7EC76E01" w:rsidR="00E262A6" w:rsidRDefault="00E262A6" w:rsidP="00783D0A">
      <w:pPr>
        <w:jc w:val="both"/>
        <w:rPr>
          <w:rFonts w:asciiTheme="majorHAnsi" w:hAnsiTheme="majorHAnsi" w:cstheme="majorHAnsi"/>
        </w:rPr>
      </w:pPr>
      <w:r w:rsidRPr="00E262A6">
        <w:rPr>
          <w:rFonts w:asciiTheme="majorHAnsi" w:hAnsiTheme="majorHAnsi" w:cstheme="majorHAnsi"/>
        </w:rPr>
        <w:t xml:space="preserve">By categorising OMP development projects into one of the three </w:t>
      </w:r>
      <w:r w:rsidR="00FC11ED">
        <w:rPr>
          <w:rFonts w:asciiTheme="majorHAnsi" w:hAnsiTheme="majorHAnsi" w:cstheme="majorHAnsi"/>
        </w:rPr>
        <w:t>categories</w:t>
      </w:r>
      <w:r w:rsidRPr="00E262A6">
        <w:rPr>
          <w:rFonts w:asciiTheme="majorHAnsi" w:hAnsiTheme="majorHAnsi" w:cstheme="majorHAnsi"/>
        </w:rPr>
        <w:t xml:space="preserve"> based on the</w:t>
      </w:r>
      <w:r w:rsidR="007427F5">
        <w:rPr>
          <w:rFonts w:asciiTheme="majorHAnsi" w:hAnsiTheme="majorHAnsi" w:cstheme="majorHAnsi"/>
        </w:rPr>
        <w:t>ir</w:t>
      </w:r>
      <w:r w:rsidRPr="00E262A6">
        <w:rPr>
          <w:rFonts w:asciiTheme="majorHAnsi" w:hAnsiTheme="majorHAnsi" w:cstheme="majorHAnsi"/>
        </w:rPr>
        <w:t xml:space="preserve"> cumulative risks along the development path, just enough incentives and support are provided to make the investment case for each project positive. This route will promote the development of medicines in a cost-effective way</w:t>
      </w:r>
      <w:r w:rsidR="0076086E">
        <w:rPr>
          <w:rFonts w:asciiTheme="majorHAnsi" w:hAnsiTheme="majorHAnsi" w:cstheme="majorHAnsi"/>
        </w:rPr>
        <w:t>,</w:t>
      </w:r>
      <w:r w:rsidRPr="00E262A6">
        <w:rPr>
          <w:rFonts w:asciiTheme="majorHAnsi" w:hAnsiTheme="majorHAnsi" w:cstheme="majorHAnsi"/>
        </w:rPr>
        <w:t xml:space="preserve"> while having the flexibility to meet evolving patient needs, as it does not require defining and updating the concept of unmet needs as innovation in rare diseases continues to grow</w:t>
      </w:r>
      <w:r>
        <w:rPr>
          <w:rFonts w:asciiTheme="majorHAnsi" w:hAnsiTheme="majorHAnsi" w:cstheme="majorHAnsi"/>
        </w:rPr>
        <w:t>.</w:t>
      </w:r>
    </w:p>
    <w:p w14:paraId="13703157" w14:textId="303429ED" w:rsidR="00BD4C34" w:rsidRDefault="008760B3" w:rsidP="00C929C3">
      <w:pPr>
        <w:jc w:val="both"/>
      </w:pPr>
      <w:r w:rsidRPr="00ED1C36">
        <w:rPr>
          <w:rFonts w:asciiTheme="majorHAnsi" w:hAnsiTheme="majorHAnsi" w:cstheme="majorHAnsi"/>
        </w:rPr>
        <w:t>L</w:t>
      </w:r>
      <w:r w:rsidR="00891E0B" w:rsidRPr="00ED1C36">
        <w:rPr>
          <w:rFonts w:asciiTheme="majorHAnsi" w:hAnsiTheme="majorHAnsi" w:cstheme="majorHAnsi"/>
        </w:rPr>
        <w:t xml:space="preserve">ooking at incentives through the </w:t>
      </w:r>
      <w:r w:rsidR="00891E0B" w:rsidRPr="00AC2B0E">
        <w:rPr>
          <w:rFonts w:asciiTheme="majorHAnsi" w:hAnsiTheme="majorHAnsi" w:cstheme="majorHAnsi"/>
        </w:rPr>
        <w:t>lens</w:t>
      </w:r>
      <w:r w:rsidR="00891E0B" w:rsidRPr="00ED1C36">
        <w:rPr>
          <w:rFonts w:asciiTheme="majorHAnsi" w:hAnsiTheme="majorHAnsi" w:cstheme="majorHAnsi"/>
        </w:rPr>
        <w:t xml:space="preserve"> of investment</w:t>
      </w:r>
      <w:r w:rsidR="00E82AD7">
        <w:rPr>
          <w:rFonts w:asciiTheme="majorHAnsi" w:hAnsiTheme="majorHAnsi" w:cstheme="majorHAnsi"/>
        </w:rPr>
        <w:t xml:space="preserve"> also</w:t>
      </w:r>
      <w:r w:rsidR="00891E0B" w:rsidRPr="00ED1C36">
        <w:rPr>
          <w:rFonts w:asciiTheme="majorHAnsi" w:hAnsiTheme="majorHAnsi" w:cstheme="majorHAnsi"/>
        </w:rPr>
        <w:t xml:space="preserve"> </w:t>
      </w:r>
      <w:r w:rsidR="00891E0B" w:rsidRPr="00ED1C36">
        <w:rPr>
          <w:rFonts w:asciiTheme="majorHAnsi" w:hAnsiTheme="majorHAnsi" w:cstheme="majorHAnsi"/>
          <w:b/>
          <w:bCs/>
        </w:rPr>
        <w:t>helps</w:t>
      </w:r>
      <w:r w:rsidR="00F356A5">
        <w:rPr>
          <w:rFonts w:asciiTheme="majorHAnsi" w:hAnsiTheme="majorHAnsi" w:cstheme="majorHAnsi"/>
          <w:b/>
          <w:bCs/>
        </w:rPr>
        <w:t xml:space="preserve"> to</w:t>
      </w:r>
      <w:r w:rsidR="00891E0B" w:rsidRPr="00ED1C36">
        <w:rPr>
          <w:rFonts w:asciiTheme="majorHAnsi" w:hAnsiTheme="majorHAnsi" w:cstheme="majorHAnsi"/>
          <w:b/>
          <w:bCs/>
        </w:rPr>
        <w:t xml:space="preserve"> identify where we need </w:t>
      </w:r>
      <w:r w:rsidR="00E82AD7">
        <w:rPr>
          <w:rFonts w:asciiTheme="majorHAnsi" w:hAnsiTheme="majorHAnsi" w:cstheme="majorHAnsi"/>
          <w:b/>
          <w:bCs/>
        </w:rPr>
        <w:t xml:space="preserve">to </w:t>
      </w:r>
      <w:r w:rsidR="00891E0B" w:rsidRPr="00ED1C36">
        <w:rPr>
          <w:rFonts w:asciiTheme="majorHAnsi" w:hAnsiTheme="majorHAnsi" w:cstheme="majorHAnsi"/>
          <w:b/>
          <w:bCs/>
        </w:rPr>
        <w:t>look for different solutions beyond the legal framework</w:t>
      </w:r>
      <w:r w:rsidR="00F356A5">
        <w:rPr>
          <w:rFonts w:asciiTheme="majorHAnsi" w:hAnsiTheme="majorHAnsi" w:cstheme="majorHAnsi"/>
          <w:b/>
          <w:bCs/>
        </w:rPr>
        <w:t>.</w:t>
      </w:r>
      <w:r w:rsidR="00891E0B" w:rsidRPr="00ED1C36">
        <w:rPr>
          <w:rFonts w:asciiTheme="majorHAnsi" w:hAnsiTheme="majorHAnsi" w:cstheme="majorHAnsi"/>
        </w:rPr>
        <w:t xml:space="preserve"> </w:t>
      </w:r>
      <w:r w:rsidR="00F356A5">
        <w:rPr>
          <w:rFonts w:asciiTheme="majorHAnsi" w:hAnsiTheme="majorHAnsi" w:cstheme="majorHAnsi"/>
        </w:rPr>
        <w:t>T</w:t>
      </w:r>
      <w:r w:rsidR="00691256">
        <w:rPr>
          <w:rFonts w:asciiTheme="majorHAnsi" w:hAnsiTheme="majorHAnsi" w:cstheme="majorHAnsi"/>
        </w:rPr>
        <w:t xml:space="preserve">he absence of basic and translational research, </w:t>
      </w:r>
      <w:r w:rsidR="00F602E8" w:rsidRPr="00ED1C36">
        <w:rPr>
          <w:rFonts w:asciiTheme="majorHAnsi" w:hAnsiTheme="majorHAnsi" w:cstheme="majorHAnsi"/>
        </w:rPr>
        <w:t>happen</w:t>
      </w:r>
      <w:r w:rsidR="00CE6C81" w:rsidRPr="00ED1C36">
        <w:rPr>
          <w:rFonts w:asciiTheme="majorHAnsi" w:hAnsiTheme="majorHAnsi" w:cstheme="majorHAnsi"/>
        </w:rPr>
        <w:t>s</w:t>
      </w:r>
      <w:r w:rsidR="00F602E8" w:rsidRPr="00ED1C36">
        <w:rPr>
          <w:rFonts w:asciiTheme="majorHAnsi" w:hAnsiTheme="majorHAnsi" w:cstheme="majorHAnsi"/>
        </w:rPr>
        <w:t xml:space="preserve"> to describe the bulk of the 95% of diseases without an authorised treatment that the Commission aims to </w:t>
      </w:r>
      <w:r w:rsidR="00F931A1" w:rsidRPr="00ED1C36">
        <w:rPr>
          <w:rFonts w:asciiTheme="majorHAnsi" w:hAnsiTheme="majorHAnsi" w:cstheme="majorHAnsi"/>
        </w:rPr>
        <w:t>address with its OMP incentive review</w:t>
      </w:r>
      <w:r w:rsidR="0008355A" w:rsidRPr="00ED1C36">
        <w:rPr>
          <w:rFonts w:asciiTheme="majorHAnsi" w:hAnsiTheme="majorHAnsi" w:cstheme="majorHAnsi"/>
        </w:rPr>
        <w:t>.</w:t>
      </w:r>
      <w:r w:rsidR="00740D93">
        <w:rPr>
          <w:rFonts w:ascii="Arial" w:hAnsi="Arial" w:cs="Arial"/>
          <w:b/>
          <w:bCs/>
          <w:lang w:val="en-US"/>
        </w:rPr>
        <w:br w:type="page"/>
      </w:r>
    </w:p>
    <w:p w14:paraId="4C46B77F" w14:textId="44B2E965" w:rsidR="00A51FD3" w:rsidRPr="00A51FD3" w:rsidRDefault="00AB0E6B" w:rsidP="00084A0D">
      <w:pPr>
        <w:pStyle w:val="Heading1"/>
      </w:pPr>
      <w:bookmarkStart w:id="2" w:name="_Hlk106699287"/>
      <w:bookmarkEnd w:id="0"/>
      <w:r>
        <w:lastRenderedPageBreak/>
        <w:t>5</w:t>
      </w:r>
      <w:r w:rsidR="00434C81">
        <w:t xml:space="preserve">. </w:t>
      </w:r>
      <w:r w:rsidR="00A51FD3">
        <w:t xml:space="preserve">eucope </w:t>
      </w:r>
      <w:r w:rsidR="00C129AB">
        <w:t>recommendations</w:t>
      </w:r>
      <w:bookmarkEnd w:id="2"/>
    </w:p>
    <w:p w14:paraId="15909C19" w14:textId="46B507C0" w:rsidR="00E766EC" w:rsidRDefault="00432994" w:rsidP="004A5856">
      <w:pPr>
        <w:jc w:val="both"/>
        <w:rPr>
          <w:rFonts w:ascii="Arial" w:hAnsi="Arial" w:cs="Arial"/>
        </w:rPr>
      </w:pPr>
      <w:r>
        <w:rPr>
          <w:rFonts w:ascii="Arial" w:hAnsi="Arial" w:cs="Arial"/>
        </w:rPr>
        <w:t xml:space="preserve">EUCOPE </w:t>
      </w:r>
      <w:r w:rsidR="00D25D03">
        <w:rPr>
          <w:rFonts w:ascii="Arial" w:hAnsi="Arial" w:cs="Arial"/>
        </w:rPr>
        <w:t>supports the Commission’s intension to promote the development of therapies to support patients with unmet</w:t>
      </w:r>
      <w:r w:rsidR="007A5C7D">
        <w:rPr>
          <w:rFonts w:ascii="Arial" w:hAnsi="Arial" w:cs="Arial"/>
        </w:rPr>
        <w:t xml:space="preserve"> medical</w:t>
      </w:r>
      <w:r w:rsidR="00D25D03">
        <w:rPr>
          <w:rFonts w:ascii="Arial" w:hAnsi="Arial" w:cs="Arial"/>
        </w:rPr>
        <w:t xml:space="preserve"> needs</w:t>
      </w:r>
      <w:r w:rsidR="00F04449">
        <w:rPr>
          <w:rFonts w:ascii="Arial" w:hAnsi="Arial" w:cs="Arial"/>
        </w:rPr>
        <w:t xml:space="preserve">. The approach currently being pursued by the Commission risks </w:t>
      </w:r>
      <w:r w:rsidR="00754361">
        <w:rPr>
          <w:rFonts w:ascii="Arial" w:hAnsi="Arial" w:cs="Arial"/>
        </w:rPr>
        <w:t xml:space="preserve">bringing about </w:t>
      </w:r>
      <w:r w:rsidR="00F04449">
        <w:rPr>
          <w:rFonts w:ascii="Arial" w:hAnsi="Arial" w:cs="Arial"/>
        </w:rPr>
        <w:t xml:space="preserve">unintended consequences </w:t>
      </w:r>
      <w:r w:rsidR="000F20A0">
        <w:rPr>
          <w:rFonts w:ascii="Arial" w:hAnsi="Arial" w:cs="Arial"/>
        </w:rPr>
        <w:t>while not fully addressing the challenges faced in the area</w:t>
      </w:r>
      <w:r w:rsidR="007A5C7D">
        <w:rPr>
          <w:rFonts w:ascii="Arial" w:hAnsi="Arial" w:cs="Arial"/>
        </w:rPr>
        <w:t>s</w:t>
      </w:r>
      <w:r w:rsidR="000F20A0">
        <w:rPr>
          <w:rFonts w:ascii="Arial" w:hAnsi="Arial" w:cs="Arial"/>
        </w:rPr>
        <w:t xml:space="preserve"> of</w:t>
      </w:r>
      <w:r w:rsidR="007A5C7D">
        <w:rPr>
          <w:rFonts w:ascii="Arial" w:hAnsi="Arial" w:cs="Arial"/>
        </w:rPr>
        <w:t xml:space="preserve"> (H)</w:t>
      </w:r>
      <w:r w:rsidR="000F20A0">
        <w:rPr>
          <w:rFonts w:ascii="Arial" w:hAnsi="Arial" w:cs="Arial"/>
        </w:rPr>
        <w:t>UMN.</w:t>
      </w:r>
      <w:r w:rsidR="00B41679">
        <w:rPr>
          <w:rFonts w:ascii="Arial" w:hAnsi="Arial" w:cs="Arial"/>
        </w:rPr>
        <w:t xml:space="preserve"> This change will have implications for </w:t>
      </w:r>
      <w:proofErr w:type="gramStart"/>
      <w:r w:rsidR="00B41679">
        <w:rPr>
          <w:rFonts w:ascii="Arial" w:hAnsi="Arial" w:cs="Arial"/>
        </w:rPr>
        <w:t>any and all</w:t>
      </w:r>
      <w:proofErr w:type="gramEnd"/>
      <w:r w:rsidR="00B41679">
        <w:rPr>
          <w:rFonts w:ascii="Arial" w:hAnsi="Arial" w:cs="Arial"/>
        </w:rPr>
        <w:t xml:space="preserve"> diseases and treatments, both in the orphan and non-orphan context.</w:t>
      </w:r>
      <w:r w:rsidR="000F20A0">
        <w:rPr>
          <w:rFonts w:ascii="Arial" w:hAnsi="Arial" w:cs="Arial"/>
        </w:rPr>
        <w:t xml:space="preserve"> Therefore, EUCOPE </w:t>
      </w:r>
      <w:r w:rsidR="007E5A74">
        <w:rPr>
          <w:rFonts w:ascii="Arial" w:hAnsi="Arial" w:cs="Arial"/>
        </w:rPr>
        <w:t xml:space="preserve">proposes the following policy asks </w:t>
      </w:r>
      <w:r w:rsidR="00390FE0">
        <w:rPr>
          <w:rFonts w:ascii="Arial" w:hAnsi="Arial" w:cs="Arial"/>
        </w:rPr>
        <w:t xml:space="preserve">to address </w:t>
      </w:r>
      <w:r w:rsidR="007A5C7D">
        <w:rPr>
          <w:rFonts w:ascii="Arial" w:hAnsi="Arial" w:cs="Arial"/>
        </w:rPr>
        <w:t>(H)UMN</w:t>
      </w:r>
      <w:r w:rsidR="00390FE0">
        <w:rPr>
          <w:rFonts w:ascii="Arial" w:hAnsi="Arial" w:cs="Arial"/>
        </w:rPr>
        <w:t>, especially in the context of the ongoing legislative reviews:</w:t>
      </w:r>
    </w:p>
    <w:p w14:paraId="552DF0D4" w14:textId="6F060296" w:rsidR="00E766EC" w:rsidRPr="00582C16" w:rsidRDefault="00BD4C34" w:rsidP="00A61381">
      <w:pPr>
        <w:numPr>
          <w:ilvl w:val="0"/>
          <w:numId w:val="21"/>
        </w:numPr>
        <w:jc w:val="both"/>
        <w:rPr>
          <w:rFonts w:ascii="Arial" w:hAnsi="Arial" w:cs="Arial"/>
        </w:rPr>
      </w:pPr>
      <w:r>
        <w:rPr>
          <w:rFonts w:ascii="Arial" w:hAnsi="Arial" w:cs="Arial"/>
          <w:noProof/>
        </w:rPr>
        <mc:AlternateContent>
          <mc:Choice Requires="wps">
            <w:drawing>
              <wp:anchor distT="0" distB="0" distL="114300" distR="114300" simplePos="0" relativeHeight="251656192" behindDoc="0" locked="0" layoutInCell="1" allowOverlap="1" wp14:anchorId="68C1B922" wp14:editId="018FCB61">
                <wp:simplePos x="0" y="0"/>
                <wp:positionH relativeFrom="column">
                  <wp:posOffset>-76200</wp:posOffset>
                </wp:positionH>
                <wp:positionV relativeFrom="paragraph">
                  <wp:posOffset>13970</wp:posOffset>
                </wp:positionV>
                <wp:extent cx="293646" cy="1685925"/>
                <wp:effectExtent l="0" t="0" r="11430" b="28575"/>
                <wp:wrapNone/>
                <wp:docPr id="7" name="Left Brace 7"/>
                <wp:cNvGraphicFramePr/>
                <a:graphic xmlns:a="http://schemas.openxmlformats.org/drawingml/2006/main">
                  <a:graphicData uri="http://schemas.microsoft.com/office/word/2010/wordprocessingShape">
                    <wps:wsp>
                      <wps:cNvSpPr/>
                      <wps:spPr>
                        <a:xfrm>
                          <a:off x="0" y="0"/>
                          <a:ext cx="293646" cy="1685925"/>
                        </a:xfrm>
                        <a:prstGeom prst="lef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1AE3DB"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7" o:spid="_x0000_s1026" type="#_x0000_t87" style="position:absolute;margin-left:-6pt;margin-top:1.1pt;width:23.1pt;height:132.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" adj="314" strokecolor="#003c72 [3204]" strokeweight=".5pt">
                <v:stroke joinstyle="miter"/>
              </v:shape>
            </w:pict>
          </mc:Fallback>
        </mc:AlternateContent>
      </w:r>
      <w:bookmarkStart w:id="3" w:name="_Hlk118392658"/>
      <w:r w:rsidR="00FB37AD">
        <w:rPr>
          <w:lang w:val="en-US"/>
        </w:rPr>
        <w:t>Establish a m</w:t>
      </w:r>
      <w:r w:rsidR="00FB37AD" w:rsidRPr="00A2139D">
        <w:rPr>
          <w:lang w:val="en-US"/>
        </w:rPr>
        <w:t>ulti-stakeholder dialogue</w:t>
      </w:r>
      <w:r w:rsidR="00892CC4">
        <w:rPr>
          <w:lang w:val="en-US"/>
        </w:rPr>
        <w:t xml:space="preserve"> building on </w:t>
      </w:r>
      <w:r w:rsidR="00715ED6">
        <w:rPr>
          <w:lang w:val="en-US"/>
        </w:rPr>
        <w:t>existing EMA and HTA dialogue structures</w:t>
      </w:r>
      <w:r w:rsidR="00FB37AD" w:rsidRPr="00A2139D">
        <w:rPr>
          <w:lang w:val="en-US"/>
        </w:rPr>
        <w:t xml:space="preserve"> along the </w:t>
      </w:r>
      <w:r w:rsidR="00FB37AD">
        <w:rPr>
          <w:lang w:val="en-US"/>
        </w:rPr>
        <w:t>drug</w:t>
      </w:r>
      <w:r w:rsidR="00FB37AD" w:rsidRPr="00A2139D">
        <w:rPr>
          <w:lang w:val="en-US"/>
        </w:rPr>
        <w:t xml:space="preserve"> development path</w:t>
      </w:r>
      <w:r w:rsidR="00D16F3D">
        <w:rPr>
          <w:lang w:val="en-US"/>
        </w:rPr>
        <w:t xml:space="preserve">. </w:t>
      </w:r>
      <w:proofErr w:type="gramStart"/>
      <w:r w:rsidR="00D16F3D">
        <w:rPr>
          <w:lang w:val="en-US"/>
        </w:rPr>
        <w:t xml:space="preserve">This </w:t>
      </w:r>
      <w:r w:rsidR="00D1130D">
        <w:rPr>
          <w:lang w:val="en-US"/>
        </w:rPr>
        <w:t xml:space="preserve"> includes</w:t>
      </w:r>
      <w:proofErr w:type="gramEnd"/>
      <w:r w:rsidR="00D1130D" w:rsidRPr="00A2139D">
        <w:rPr>
          <w:lang w:val="en-US"/>
        </w:rPr>
        <w:t xml:space="preserve"> </w:t>
      </w:r>
      <w:r w:rsidR="00FB37AD" w:rsidRPr="00A2139D">
        <w:rPr>
          <w:lang w:val="en-US"/>
        </w:rPr>
        <w:t>patient representatives, developers, clinicians, regulators, HTA experts and payers,</w:t>
      </w:r>
      <w:r w:rsidR="00FB37AD">
        <w:rPr>
          <w:lang w:val="en-US"/>
        </w:rPr>
        <w:t xml:space="preserve"> that</w:t>
      </w:r>
      <w:r w:rsidR="00FB37AD" w:rsidRPr="00A2139D">
        <w:rPr>
          <w:lang w:val="en-US"/>
        </w:rPr>
        <w:t xml:space="preserve"> can continuously refine and update existing assumptions on unmet needs</w:t>
      </w:r>
      <w:bookmarkEnd w:id="3"/>
      <w:r w:rsidR="000C0A32">
        <w:rPr>
          <w:lang w:val="en-US"/>
        </w:rPr>
        <w:t>;</w:t>
      </w:r>
    </w:p>
    <w:p w14:paraId="328FB92A" w14:textId="1111AD65" w:rsidR="00582C16" w:rsidRPr="00582C16" w:rsidRDefault="007A4F4B" w:rsidP="00A61381">
      <w:pPr>
        <w:pStyle w:val="ListParagraph"/>
        <w:numPr>
          <w:ilvl w:val="0"/>
          <w:numId w:val="21"/>
        </w:numPr>
      </w:pPr>
      <w:r>
        <w:rPr>
          <w:lang w:val="en-US"/>
        </w:rPr>
        <w:t>The necessary guidance</w:t>
      </w:r>
      <w:r w:rsidR="00950921">
        <w:rPr>
          <w:lang w:val="en-US"/>
        </w:rPr>
        <w:t xml:space="preserve"> to assess (H)UMN</w:t>
      </w:r>
      <w:r>
        <w:rPr>
          <w:lang w:val="en-US"/>
        </w:rPr>
        <w:t xml:space="preserve"> already </w:t>
      </w:r>
      <w:r w:rsidR="00950921">
        <w:rPr>
          <w:lang w:val="en-US"/>
        </w:rPr>
        <w:t>exists</w:t>
      </w:r>
      <w:r>
        <w:rPr>
          <w:lang w:val="en-US"/>
        </w:rPr>
        <w:t xml:space="preserve"> in various</w:t>
      </w:r>
      <w:r w:rsidR="00950921">
        <w:rPr>
          <w:lang w:val="en-US"/>
        </w:rPr>
        <w:t xml:space="preserve"> EU</w:t>
      </w:r>
      <w:r>
        <w:rPr>
          <w:lang w:val="en-US"/>
        </w:rPr>
        <w:t xml:space="preserve"> legislative and non-legislative documents.</w:t>
      </w:r>
      <w:r w:rsidR="00C029BF">
        <w:rPr>
          <w:lang w:val="en-US"/>
        </w:rPr>
        <w:t xml:space="preserve"> Therefore,</w:t>
      </w:r>
      <w:r w:rsidR="00FC561F">
        <w:rPr>
          <w:lang w:val="en-US"/>
        </w:rPr>
        <w:t xml:space="preserve"> we should maintain</w:t>
      </w:r>
      <w:r>
        <w:rPr>
          <w:noProof/>
          <w:lang w:val="en-US"/>
        </w:rPr>
        <w:t xml:space="preserve"> </w:t>
      </w:r>
      <w:r w:rsidR="00B416D4">
        <w:rPr>
          <w:noProof/>
          <w:lang w:val="en-US"/>
        </w:rPr>
        <mc:AlternateContent>
          <mc:Choice Requires="wps">
            <w:drawing>
              <wp:anchor distT="0" distB="0" distL="114300" distR="114300" simplePos="0" relativeHeight="251658240" behindDoc="0" locked="0" layoutInCell="1" allowOverlap="1" wp14:anchorId="75212EA2" wp14:editId="50CBD41D">
                <wp:simplePos x="0" y="0"/>
                <wp:positionH relativeFrom="leftMargin">
                  <wp:posOffset>-203200</wp:posOffset>
                </wp:positionH>
                <wp:positionV relativeFrom="paragraph">
                  <wp:posOffset>297077</wp:posOffset>
                </wp:positionV>
                <wp:extent cx="1282700" cy="660400"/>
                <wp:effectExtent l="6350" t="0" r="19050" b="19050"/>
                <wp:wrapNone/>
                <wp:docPr id="9" name="Text Box 9"/>
                <wp:cNvGraphicFramePr/>
                <a:graphic xmlns:a="http://schemas.openxmlformats.org/drawingml/2006/main">
                  <a:graphicData uri="http://schemas.microsoft.com/office/word/2010/wordprocessingShape">
                    <wps:wsp>
                      <wps:cNvSpPr txBox="1"/>
                      <wps:spPr>
                        <a:xfrm rot="16200000">
                          <a:off x="0" y="0"/>
                          <a:ext cx="1282700" cy="660400"/>
                        </a:xfrm>
                        <a:prstGeom prst="rect">
                          <a:avLst/>
                        </a:prstGeom>
                        <a:solidFill>
                          <a:schemeClr val="lt1"/>
                        </a:solidFill>
                        <a:ln w="6350">
                          <a:solidFill>
                            <a:prstClr val="black"/>
                          </a:solidFill>
                        </a:ln>
                      </wps:spPr>
                      <wps:txbx>
                        <w:txbxContent>
                          <w:p w14:paraId="41EF4A77" w14:textId="59421A97" w:rsidR="00582C16" w:rsidRDefault="00582C16" w:rsidP="00B416D4">
                            <w:pPr>
                              <w:jc w:val="center"/>
                            </w:pPr>
                            <w:r>
                              <w:t>Pharmaceutical strategy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212EA2" id="Text Box 9" o:spid="_x0000_s1027" type="#_x0000_t202" style="position:absolute;left:0;text-align:left;margin-left:-16pt;margin-top:23.4pt;width:101pt;height:52pt;rotation:-90;z-index:25165824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" fillcolor="white [3201]" strokeweight=".5pt">
                <v:textbox>
                  <w:txbxContent>
                    <w:p w14:paraId="41EF4A77" w14:textId="59421A97" w:rsidR="00582C16" w:rsidRDefault="00582C16" w:rsidP="00B416D4">
                      <w:pPr>
                        <w:jc w:val="center"/>
                      </w:pPr>
                      <w:r>
                        <w:t>Pharmaceutical strategy</w:t>
                      </w:r>
                    </w:p>
                  </w:txbxContent>
                </v:textbox>
                <w10:wrap anchorx="margin"/>
              </v:shape>
            </w:pict>
          </mc:Fallback>
        </mc:AlternateContent>
      </w:r>
      <w:r w:rsidR="00FC561F">
        <w:rPr>
          <w:noProof/>
          <w:lang w:val="en-US"/>
        </w:rPr>
        <w:t>a</w:t>
      </w:r>
      <w:r w:rsidR="00FD3FF5">
        <w:t xml:space="preserve"> b</w:t>
      </w:r>
      <w:r w:rsidR="00FD3FF5" w:rsidRPr="00E766EC">
        <w:rPr>
          <w:lang w:val="en-US"/>
        </w:rPr>
        <w:t>road understanding of UMN</w:t>
      </w:r>
      <w:r w:rsidR="00FD3FF5">
        <w:rPr>
          <w:lang w:val="en-US"/>
        </w:rPr>
        <w:t xml:space="preserve"> at EU level by </w:t>
      </w:r>
      <w:r w:rsidR="00FD3FF5" w:rsidRPr="00E766EC">
        <w:rPr>
          <w:lang w:val="en-US"/>
        </w:rPr>
        <w:t>not</w:t>
      </w:r>
      <w:r w:rsidR="00FC561F">
        <w:rPr>
          <w:lang w:val="en-US"/>
        </w:rPr>
        <w:t xml:space="preserve"> further </w:t>
      </w:r>
      <w:r w:rsidR="00FD3FF5" w:rsidRPr="00E766EC">
        <w:rPr>
          <w:lang w:val="en-US"/>
        </w:rPr>
        <w:t>codif</w:t>
      </w:r>
      <w:r w:rsidR="00FD3FF5">
        <w:rPr>
          <w:lang w:val="en-US"/>
        </w:rPr>
        <w:t xml:space="preserve">ying the concept in the General Pharmaceutical, </w:t>
      </w:r>
      <w:r w:rsidR="00FD3FF5" w:rsidRPr="00E766EC">
        <w:rPr>
          <w:lang w:val="en-US"/>
        </w:rPr>
        <w:t>OMP</w:t>
      </w:r>
      <w:r w:rsidR="00FD3FF5">
        <w:rPr>
          <w:lang w:val="en-US"/>
        </w:rPr>
        <w:t xml:space="preserve"> and</w:t>
      </w:r>
      <w:r w:rsidR="00FD3FF5" w:rsidRPr="00E766EC">
        <w:rPr>
          <w:lang w:val="en-US"/>
        </w:rPr>
        <w:t xml:space="preserve"> Pedi</w:t>
      </w:r>
      <w:r w:rsidR="00FD3FF5">
        <w:rPr>
          <w:lang w:val="en-US"/>
        </w:rPr>
        <w:t xml:space="preserve">atric legislation, to encourage continued research for all patient populations who can benefit from therapeutic </w:t>
      </w:r>
      <w:proofErr w:type="gramStart"/>
      <w:r w:rsidR="00FD3FF5">
        <w:rPr>
          <w:lang w:val="en-US"/>
        </w:rPr>
        <w:t>innovation</w:t>
      </w:r>
      <w:r w:rsidR="007F44D3">
        <w:rPr>
          <w:lang w:val="en-US"/>
        </w:rPr>
        <w:t>;</w:t>
      </w:r>
      <w:proofErr w:type="gramEnd"/>
    </w:p>
    <w:p w14:paraId="722947D1" w14:textId="34C44CF2" w:rsidR="00AE086D" w:rsidRPr="00CF425B" w:rsidRDefault="00255EFC" w:rsidP="00A61381">
      <w:pPr>
        <w:numPr>
          <w:ilvl w:val="0"/>
          <w:numId w:val="21"/>
        </w:numPr>
        <w:jc w:val="both"/>
        <w:rPr>
          <w:rFonts w:ascii="Arial" w:hAnsi="Arial" w:cs="Arial"/>
          <w:lang w:val="en-US"/>
        </w:rPr>
      </w:pPr>
      <w:r w:rsidRPr="00255EFC">
        <w:rPr>
          <w:rFonts w:ascii="Arial" w:hAnsi="Arial" w:cs="Arial"/>
          <w:lang w:val="en-US"/>
        </w:rPr>
        <w:t xml:space="preserve">Avoid including the concept of ‘cure’ in any criteria for (H)UMN as this cannot be fully assessed at the time of marketing authorization and consider disease modifying criteria </w:t>
      </w:r>
      <w:proofErr w:type="gramStart"/>
      <w:r w:rsidRPr="00255EFC">
        <w:rPr>
          <w:rFonts w:ascii="Arial" w:hAnsi="Arial" w:cs="Arial"/>
          <w:lang w:val="en-US"/>
        </w:rPr>
        <w:t>instead</w:t>
      </w:r>
      <w:r w:rsidR="00B416D4">
        <w:rPr>
          <w:rFonts w:ascii="Arial" w:hAnsi="Arial" w:cs="Arial"/>
          <w:lang w:val="en-US"/>
        </w:rPr>
        <w:t>;</w:t>
      </w:r>
      <w:proofErr w:type="gramEnd"/>
    </w:p>
    <w:p w14:paraId="3EECAFEF" w14:textId="6D3BD203" w:rsidR="00582C16" w:rsidRPr="00582C16" w:rsidRDefault="00B416D4" w:rsidP="00A61381">
      <w:pPr>
        <w:numPr>
          <w:ilvl w:val="0"/>
          <w:numId w:val="21"/>
        </w:numPr>
        <w:jc w:val="both"/>
        <w:rPr>
          <w:rFonts w:ascii="Arial" w:hAnsi="Arial" w:cs="Arial"/>
        </w:rPr>
      </w:pPr>
      <w:r>
        <w:rPr>
          <w:rFonts w:ascii="Arial" w:hAnsi="Arial" w:cs="Arial"/>
          <w:noProof/>
          <w:lang w:val="en-US"/>
        </w:rPr>
        <mc:AlternateContent>
          <mc:Choice Requires="wps">
            <w:drawing>
              <wp:anchor distT="0" distB="0" distL="114300" distR="114300" simplePos="0" relativeHeight="251659264" behindDoc="0" locked="0" layoutInCell="1" allowOverlap="1" wp14:anchorId="08D3AD61" wp14:editId="4F0A4D3E">
                <wp:simplePos x="0" y="0"/>
                <wp:positionH relativeFrom="column">
                  <wp:posOffset>-841375</wp:posOffset>
                </wp:positionH>
                <wp:positionV relativeFrom="paragraph">
                  <wp:posOffset>328398</wp:posOffset>
                </wp:positionV>
                <wp:extent cx="736600" cy="552450"/>
                <wp:effectExtent l="0" t="3175" r="22225" b="22225"/>
                <wp:wrapNone/>
                <wp:docPr id="10" name="Text Box 10"/>
                <wp:cNvGraphicFramePr/>
                <a:graphic xmlns:a="http://schemas.openxmlformats.org/drawingml/2006/main">
                  <a:graphicData uri="http://schemas.microsoft.com/office/word/2010/wordprocessingShape">
                    <wps:wsp>
                      <wps:cNvSpPr txBox="1"/>
                      <wps:spPr>
                        <a:xfrm rot="16200000">
                          <a:off x="0" y="0"/>
                          <a:ext cx="736600" cy="552450"/>
                        </a:xfrm>
                        <a:prstGeom prst="rect">
                          <a:avLst/>
                        </a:prstGeom>
                        <a:solidFill>
                          <a:schemeClr val="lt1"/>
                        </a:solidFill>
                        <a:ln w="6350">
                          <a:solidFill>
                            <a:prstClr val="black"/>
                          </a:solidFill>
                        </a:ln>
                      </wps:spPr>
                      <wps:txbx>
                        <w:txbxContent>
                          <w:p w14:paraId="1E7712D1" w14:textId="3E15F986" w:rsidR="00582C16" w:rsidRDefault="00582C16" w:rsidP="00B416D4">
                            <w:pPr>
                              <w:jc w:val="center"/>
                            </w:pPr>
                            <w:r>
                              <w:t>Rare diseases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D3AD61" id="Text Box 10" o:spid="_x0000_s1028" type="#_x0000_t202" style="position:absolute;left:0;text-align:left;margin-left:-66.25pt;margin-top:25.85pt;width:58pt;height:43.5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" fillcolor="white [3201]" strokeweight=".5pt">
                <v:textbox>
                  <w:txbxContent>
                    <w:p w14:paraId="1E7712D1" w14:textId="3E15F986" w:rsidR="00582C16" w:rsidRDefault="00582C16" w:rsidP="00B416D4">
                      <w:pPr>
                        <w:jc w:val="center"/>
                      </w:pPr>
                      <w:r>
                        <w:t>Rare diseases</w:t>
                      </w:r>
                    </w:p>
                  </w:txbxContent>
                </v:textbox>
              </v:shape>
            </w:pict>
          </mc:Fallback>
        </mc:AlternateContent>
      </w:r>
      <w:r w:rsidR="00B65DDC">
        <w:rPr>
          <w:rFonts w:ascii="Arial" w:hAnsi="Arial" w:cs="Arial"/>
          <w:noProof/>
        </w:rPr>
        <mc:AlternateContent>
          <mc:Choice Requires="wps">
            <w:drawing>
              <wp:anchor distT="0" distB="0" distL="114300" distR="114300" simplePos="0" relativeHeight="251657216" behindDoc="0" locked="0" layoutInCell="1" allowOverlap="1" wp14:anchorId="74432E0B" wp14:editId="4D8520CA">
                <wp:simplePos x="0" y="0"/>
                <wp:positionH relativeFrom="column">
                  <wp:posOffset>-106326</wp:posOffset>
                </wp:positionH>
                <wp:positionV relativeFrom="paragraph">
                  <wp:posOffset>5198</wp:posOffset>
                </wp:positionV>
                <wp:extent cx="317500" cy="1183758"/>
                <wp:effectExtent l="0" t="0" r="25400" b="16510"/>
                <wp:wrapNone/>
                <wp:docPr id="8" name="Left Brace 8"/>
                <wp:cNvGraphicFramePr/>
                <a:graphic xmlns:a="http://schemas.openxmlformats.org/drawingml/2006/main">
                  <a:graphicData uri="http://schemas.microsoft.com/office/word/2010/wordprocessingShape">
                    <wps:wsp>
                      <wps:cNvSpPr/>
                      <wps:spPr>
                        <a:xfrm>
                          <a:off x="0" y="0"/>
                          <a:ext cx="317500" cy="1183758"/>
                        </a:xfrm>
                        <a:prstGeom prst="lef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54BB5A" id="Left Brace 8" o:spid="_x0000_s1026" type="#_x0000_t87" style="position:absolute;margin-left:-8.35pt;margin-top:.4pt;width:25pt;height:93.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" adj="483" strokecolor="#003c72 [3204]" strokeweight=".5pt">
                <v:stroke joinstyle="miter"/>
              </v:shape>
            </w:pict>
          </mc:Fallback>
        </mc:AlternateContent>
      </w:r>
      <w:r w:rsidR="00255EFC" w:rsidRPr="00255EFC">
        <w:rPr>
          <w:rFonts w:ascii="Arial" w:hAnsi="Arial" w:cs="Arial"/>
          <w:noProof/>
          <w:lang w:val="en-US"/>
        </w:rPr>
        <w:t xml:space="preserve">Launch an EU-wide rare disease strategy to support access to and development of novel therapies, especially in the 95% of rare diseases where no therapeutic options </w:t>
      </w:r>
      <w:proofErr w:type="gramStart"/>
      <w:r w:rsidR="00255EFC" w:rsidRPr="00255EFC">
        <w:rPr>
          <w:rFonts w:ascii="Arial" w:hAnsi="Arial" w:cs="Arial"/>
          <w:noProof/>
          <w:lang w:val="en-US"/>
        </w:rPr>
        <w:t>exist</w:t>
      </w:r>
      <w:r w:rsidR="00582C16">
        <w:rPr>
          <w:rFonts w:ascii="Arial" w:hAnsi="Arial" w:cs="Arial"/>
          <w:lang w:val="en-US"/>
        </w:rPr>
        <w:t>;</w:t>
      </w:r>
      <w:proofErr w:type="gramEnd"/>
    </w:p>
    <w:p w14:paraId="2919286E" w14:textId="62DE5CA5" w:rsidR="007E02AA" w:rsidRPr="009517E8" w:rsidRDefault="00255EFC" w:rsidP="00A61381">
      <w:pPr>
        <w:numPr>
          <w:ilvl w:val="0"/>
          <w:numId w:val="21"/>
        </w:numPr>
        <w:jc w:val="both"/>
        <w:rPr>
          <w:rFonts w:ascii="Arial" w:hAnsi="Arial" w:cs="Arial"/>
          <w:lang w:val="en-US"/>
        </w:rPr>
      </w:pPr>
      <w:r w:rsidRPr="00255EFC">
        <w:t>Modulat</w:t>
      </w:r>
      <w:r>
        <w:t>e</w:t>
      </w:r>
      <w:r w:rsidRPr="00255EFC">
        <w:t xml:space="preserve"> Orphan incentives through the lens of the probability of success </w:t>
      </w:r>
      <w:proofErr w:type="gramStart"/>
      <w:r w:rsidRPr="00255EFC">
        <w:t>i.e.</w:t>
      </w:r>
      <w:proofErr w:type="gramEnd"/>
      <w:r w:rsidRPr="00255EFC">
        <w:t xml:space="preserve"> the investment case, rather than through a ranking of unmet needs. This, along with policy initiatives that go beyond the OMP regulation, such as public private partnerships, can help addressing </w:t>
      </w:r>
      <w:proofErr w:type="gramStart"/>
      <w:r w:rsidRPr="00255EFC">
        <w:t>in particular the</w:t>
      </w:r>
      <w:proofErr w:type="gramEnd"/>
      <w:r w:rsidRPr="00255EFC">
        <w:t xml:space="preserve"> 95% of rare diseases without an approved treatment</w:t>
      </w:r>
      <w:r w:rsidR="009517E8">
        <w:t>.</w:t>
      </w:r>
    </w:p>
    <w:p w14:paraId="0EA15D65" w14:textId="77777777" w:rsidR="006B7441" w:rsidRDefault="006B7441">
      <w:pPr>
        <w:rPr>
          <w:rFonts w:ascii="Arial" w:hAnsi="Arial" w:cs="Arial"/>
        </w:rPr>
      </w:pPr>
    </w:p>
    <w:p w14:paraId="0F7B834C" w14:textId="77777777" w:rsidR="00084A0D" w:rsidRDefault="00084A0D">
      <w:pPr>
        <w:rPr>
          <w:rFonts w:ascii="Arial" w:hAnsi="Arial" w:cs="Arial"/>
          <w:b/>
          <w:bCs/>
        </w:rPr>
      </w:pPr>
      <w:r>
        <w:rPr>
          <w:rFonts w:ascii="Arial" w:hAnsi="Arial" w:cs="Arial"/>
          <w:b/>
          <w:bCs/>
        </w:rPr>
        <w:br w:type="page"/>
      </w:r>
    </w:p>
    <w:p w14:paraId="66584C22" w14:textId="45C0C612" w:rsidR="00BD4C34" w:rsidRPr="00A16CB5" w:rsidRDefault="00BD4C34" w:rsidP="00BD4C34">
      <w:pPr>
        <w:jc w:val="both"/>
        <w:rPr>
          <w:rFonts w:ascii="Arial" w:hAnsi="Arial" w:cs="Arial"/>
          <w:b/>
          <w:bCs/>
        </w:rPr>
      </w:pPr>
      <w:r>
        <w:rPr>
          <w:rFonts w:ascii="Arial" w:hAnsi="Arial" w:cs="Arial"/>
          <w:b/>
          <w:bCs/>
        </w:rPr>
        <w:lastRenderedPageBreak/>
        <w:t>Annex 1: References to the concepts defining or referring to UMN in the current EU pharmaceutical acquis</w:t>
      </w:r>
    </w:p>
    <w:tbl>
      <w:tblPr>
        <w:tblStyle w:val="TableGrid"/>
        <w:tblW w:w="9350" w:type="dxa"/>
        <w:tblLook w:val="04A0" w:firstRow="1" w:lastRow="0" w:firstColumn="1" w:lastColumn="0" w:noHBand="0" w:noVBand="1"/>
      </w:tblPr>
      <w:tblGrid>
        <w:gridCol w:w="1294"/>
        <w:gridCol w:w="1639"/>
        <w:gridCol w:w="4518"/>
        <w:gridCol w:w="1899"/>
      </w:tblGrid>
      <w:tr w:rsidR="00BD4C34" w:rsidRPr="005818FA" w14:paraId="045C6AB5" w14:textId="77777777">
        <w:tc>
          <w:tcPr>
            <w:tcW w:w="1305" w:type="dxa"/>
          </w:tcPr>
          <w:p w14:paraId="646DB081" w14:textId="77777777" w:rsidR="00BD4C34" w:rsidRPr="00D77A76" w:rsidRDefault="00BD4C34">
            <w:pPr>
              <w:tabs>
                <w:tab w:val="right" w:pos="1764"/>
              </w:tabs>
              <w:rPr>
                <w:rFonts w:ascii="Arial" w:eastAsia="MS PGothic" w:hAnsi="Arial" w:cs="Arial"/>
              </w:rPr>
            </w:pPr>
            <w:r w:rsidRPr="00D77A76">
              <w:rPr>
                <w:rFonts w:ascii="Arial" w:eastAsia="MS PGothic" w:hAnsi="Arial" w:cs="Arial"/>
              </w:rPr>
              <w:t xml:space="preserve">Definition </w:t>
            </w:r>
            <w:r w:rsidRPr="00D77A76">
              <w:rPr>
                <w:rFonts w:ascii="Arial" w:eastAsia="MS PGothic" w:hAnsi="Arial" w:cs="Arial"/>
              </w:rPr>
              <w:tab/>
            </w:r>
          </w:p>
        </w:tc>
        <w:tc>
          <w:tcPr>
            <w:tcW w:w="1242" w:type="dxa"/>
          </w:tcPr>
          <w:p w14:paraId="5F19443D" w14:textId="77777777" w:rsidR="00BD4C34" w:rsidRPr="00D77A76" w:rsidRDefault="00BD4C34">
            <w:pPr>
              <w:rPr>
                <w:rFonts w:ascii="Arial" w:eastAsia="MS PGothic" w:hAnsi="Arial" w:cs="Arial"/>
              </w:rPr>
            </w:pPr>
            <w:r w:rsidRPr="00D77A76">
              <w:rPr>
                <w:rFonts w:ascii="Arial" w:eastAsia="MS PGothic" w:hAnsi="Arial" w:cs="Arial"/>
              </w:rPr>
              <w:t xml:space="preserve">Legislation  </w:t>
            </w:r>
          </w:p>
        </w:tc>
        <w:tc>
          <w:tcPr>
            <w:tcW w:w="4846" w:type="dxa"/>
          </w:tcPr>
          <w:p w14:paraId="675BD045" w14:textId="77777777" w:rsidR="00BD4C34" w:rsidRPr="00D77A76" w:rsidRDefault="00BD4C34">
            <w:pPr>
              <w:rPr>
                <w:rFonts w:ascii="Arial" w:eastAsia="MS PGothic" w:hAnsi="Arial" w:cs="Arial"/>
              </w:rPr>
            </w:pPr>
            <w:r w:rsidRPr="00D77A76">
              <w:rPr>
                <w:rFonts w:ascii="Arial" w:eastAsia="MS PGothic" w:hAnsi="Arial" w:cs="Arial"/>
              </w:rPr>
              <w:t>Criteria</w:t>
            </w:r>
          </w:p>
        </w:tc>
        <w:tc>
          <w:tcPr>
            <w:tcW w:w="1957" w:type="dxa"/>
          </w:tcPr>
          <w:p w14:paraId="4851C76D" w14:textId="77777777" w:rsidR="00BD4C34" w:rsidRPr="00FF4F4B" w:rsidRDefault="00BD4C34">
            <w:pPr>
              <w:rPr>
                <w:rFonts w:ascii="Arial" w:eastAsia="MS PGothic" w:hAnsi="Arial" w:cs="Arial"/>
              </w:rPr>
            </w:pPr>
            <w:r w:rsidRPr="00D77A76">
              <w:rPr>
                <w:rFonts w:ascii="Arial" w:eastAsia="MS PGothic" w:hAnsi="Arial" w:cs="Arial"/>
              </w:rPr>
              <w:t xml:space="preserve">Objective </w:t>
            </w:r>
            <w:r w:rsidRPr="00D77A76">
              <w:rPr>
                <w:rFonts w:ascii="Arial" w:eastAsia="MS PGothic" w:hAnsi="Arial" w:cs="Arial"/>
              </w:rPr>
              <w:tab/>
            </w:r>
          </w:p>
        </w:tc>
      </w:tr>
      <w:tr w:rsidR="00BD4C34" w:rsidRPr="005818FA" w14:paraId="21805CC0" w14:textId="77777777">
        <w:tc>
          <w:tcPr>
            <w:tcW w:w="1305" w:type="dxa"/>
          </w:tcPr>
          <w:p w14:paraId="68764784" w14:textId="77777777" w:rsidR="00BD4C34" w:rsidRPr="00D77A76" w:rsidRDefault="00BD4C34">
            <w:pPr>
              <w:tabs>
                <w:tab w:val="right" w:pos="1764"/>
              </w:tabs>
              <w:rPr>
                <w:rFonts w:ascii="Arial" w:eastAsia="MS PGothic" w:hAnsi="Arial" w:cs="Arial"/>
              </w:rPr>
            </w:pPr>
            <w:r w:rsidRPr="00D77A76">
              <w:rPr>
                <w:rFonts w:ascii="Arial" w:eastAsia="MS PGothic" w:hAnsi="Arial" w:cs="Arial"/>
              </w:rPr>
              <w:t>Unmet medical needs</w:t>
            </w:r>
          </w:p>
        </w:tc>
        <w:tc>
          <w:tcPr>
            <w:tcW w:w="1242" w:type="dxa"/>
          </w:tcPr>
          <w:p w14:paraId="1CA281C6" w14:textId="77777777" w:rsidR="00BD4C34" w:rsidRPr="00D77A76" w:rsidRDefault="00BD4C34">
            <w:pPr>
              <w:rPr>
                <w:rFonts w:ascii="Arial" w:eastAsia="MS PGothic" w:hAnsi="Arial" w:cs="Arial"/>
              </w:rPr>
            </w:pPr>
            <w:r w:rsidRPr="00D77A76">
              <w:rPr>
                <w:rFonts w:ascii="Arial" w:eastAsia="MS PGothic" w:hAnsi="Arial" w:cs="Arial"/>
              </w:rPr>
              <w:t>Regulation (EC) No 726/2004 - Article 14-a</w:t>
            </w:r>
          </w:p>
        </w:tc>
        <w:tc>
          <w:tcPr>
            <w:tcW w:w="4846" w:type="dxa"/>
          </w:tcPr>
          <w:p w14:paraId="21595535" w14:textId="77777777" w:rsidR="00BD4C34" w:rsidRPr="00D77A76" w:rsidRDefault="00BD4C34">
            <w:pPr>
              <w:rPr>
                <w:rFonts w:ascii="Arial" w:eastAsia="MS PGothic" w:hAnsi="Arial" w:cs="Arial"/>
                <w:b/>
                <w:bCs/>
                <w:u w:val="single"/>
              </w:rPr>
            </w:pPr>
            <w:r w:rsidRPr="00FF4F4B">
              <w:rPr>
                <w:rFonts w:ascii="Arial" w:hAnsi="Arial" w:cs="Arial"/>
              </w:rPr>
              <w:t>-</w:t>
            </w:r>
            <w:r w:rsidRPr="00D77A76">
              <w:rPr>
                <w:rFonts w:ascii="Arial" w:eastAsia="MS PGothic" w:hAnsi="Arial" w:cs="Arial"/>
                <w:b/>
                <w:bCs/>
                <w:u w:val="single"/>
              </w:rPr>
              <w:t xml:space="preserve">no satisfactory method of diagnosis, </w:t>
            </w:r>
            <w:proofErr w:type="gramStart"/>
            <w:r w:rsidRPr="00D77A76">
              <w:rPr>
                <w:rFonts w:ascii="Arial" w:eastAsia="MS PGothic" w:hAnsi="Arial" w:cs="Arial"/>
                <w:b/>
                <w:bCs/>
                <w:u w:val="single"/>
              </w:rPr>
              <w:t>prevention</w:t>
            </w:r>
            <w:proofErr w:type="gramEnd"/>
            <w:r w:rsidRPr="00D77A76">
              <w:rPr>
                <w:rFonts w:ascii="Arial" w:eastAsia="MS PGothic" w:hAnsi="Arial" w:cs="Arial"/>
                <w:b/>
                <w:bCs/>
                <w:u w:val="single"/>
              </w:rPr>
              <w:t xml:space="preserve"> or treatment in the Union or, </w:t>
            </w:r>
          </w:p>
          <w:p w14:paraId="7B26A8A5" w14:textId="77777777" w:rsidR="00BD4C34" w:rsidRPr="00D77A76" w:rsidRDefault="00BD4C34">
            <w:pPr>
              <w:rPr>
                <w:rFonts w:ascii="Arial" w:eastAsia="MS PGothic" w:hAnsi="Arial" w:cs="Arial"/>
              </w:rPr>
            </w:pPr>
            <w:r w:rsidRPr="00FF4F4B">
              <w:rPr>
                <w:rFonts w:ascii="Arial" w:hAnsi="Arial" w:cs="Arial"/>
              </w:rPr>
              <w:t>-</w:t>
            </w:r>
            <w:r w:rsidRPr="00D77A76">
              <w:rPr>
                <w:rFonts w:ascii="Arial" w:eastAsia="MS PGothic" w:hAnsi="Arial" w:cs="Arial"/>
              </w:rPr>
              <w:t xml:space="preserve">even if such a method exists, the medicinal product concerned will be of major therapeutic advantage </w:t>
            </w:r>
          </w:p>
        </w:tc>
        <w:tc>
          <w:tcPr>
            <w:tcW w:w="1957" w:type="dxa"/>
          </w:tcPr>
          <w:p w14:paraId="1520AC58" w14:textId="77777777" w:rsidR="00BD4C34" w:rsidRPr="00FF4F4B" w:rsidRDefault="00BD4C34">
            <w:pPr>
              <w:rPr>
                <w:rFonts w:ascii="Arial" w:hAnsi="Arial" w:cs="Arial"/>
              </w:rPr>
            </w:pPr>
            <w:r w:rsidRPr="00D77A76">
              <w:rPr>
                <w:rFonts w:ascii="Arial" w:eastAsia="MS PGothic" w:hAnsi="Arial" w:cs="Arial"/>
              </w:rPr>
              <w:t>Grant conditional marketing authorisation</w:t>
            </w:r>
          </w:p>
        </w:tc>
      </w:tr>
      <w:tr w:rsidR="00BD4C34" w:rsidRPr="005818FA" w14:paraId="48F5DE3A" w14:textId="77777777">
        <w:tc>
          <w:tcPr>
            <w:tcW w:w="1305" w:type="dxa"/>
          </w:tcPr>
          <w:p w14:paraId="5472EEBE" w14:textId="77777777" w:rsidR="00BD4C34" w:rsidRPr="00D77A76" w:rsidRDefault="00BD4C34">
            <w:pPr>
              <w:tabs>
                <w:tab w:val="right" w:pos="1764"/>
              </w:tabs>
              <w:rPr>
                <w:rFonts w:ascii="Arial" w:eastAsia="MS PGothic" w:hAnsi="Arial" w:cs="Arial"/>
              </w:rPr>
            </w:pPr>
            <w:r w:rsidRPr="00D77A76">
              <w:rPr>
                <w:rFonts w:ascii="Arial" w:eastAsia="MS PGothic" w:hAnsi="Arial" w:cs="Arial"/>
              </w:rPr>
              <w:t xml:space="preserve">Significant clinical benefit </w:t>
            </w:r>
          </w:p>
        </w:tc>
        <w:tc>
          <w:tcPr>
            <w:tcW w:w="1242" w:type="dxa"/>
          </w:tcPr>
          <w:p w14:paraId="583DC351" w14:textId="77777777" w:rsidR="00BD4C34" w:rsidRPr="00FF4F4B" w:rsidRDefault="00BD4C34">
            <w:pPr>
              <w:rPr>
                <w:rFonts w:ascii="Arial" w:hAnsi="Arial" w:cs="Arial"/>
              </w:rPr>
            </w:pPr>
            <w:r w:rsidRPr="00D77A76">
              <w:rPr>
                <w:rFonts w:ascii="Arial" w:eastAsia="MS PGothic" w:hAnsi="Arial" w:cs="Arial"/>
              </w:rPr>
              <w:t xml:space="preserve">Regulation (EC) No 726/2004, Art </w:t>
            </w:r>
            <w:proofErr w:type="gramStart"/>
            <w:r w:rsidRPr="00D77A76">
              <w:rPr>
                <w:rFonts w:ascii="Arial" w:eastAsia="MS PGothic" w:hAnsi="Arial" w:cs="Arial"/>
              </w:rPr>
              <w:t>14(11)</w:t>
            </w:r>
            <w:proofErr w:type="gramEnd"/>
            <w:r w:rsidRPr="00D77A76">
              <w:rPr>
                <w:rFonts w:ascii="Arial" w:eastAsia="MS PGothic" w:hAnsi="Arial" w:cs="Arial"/>
              </w:rPr>
              <w:t xml:space="preserve"> and Directive 2001/83/EC - Art 10(1)</w:t>
            </w:r>
          </w:p>
          <w:p w14:paraId="547AE187" w14:textId="77777777" w:rsidR="00BD4C34" w:rsidRPr="00D77A76" w:rsidRDefault="00BD4C34">
            <w:pPr>
              <w:rPr>
                <w:rFonts w:ascii="Arial" w:eastAsia="MS PGothic" w:hAnsi="Arial" w:cs="Arial"/>
              </w:rPr>
            </w:pPr>
            <w:r w:rsidRPr="00FF4F4B">
              <w:rPr>
                <w:rFonts w:ascii="Arial" w:hAnsi="Arial" w:cs="Arial"/>
              </w:rPr>
              <w:t xml:space="preserve">Specified in </w:t>
            </w:r>
            <w:hyperlink r:id="rId17" w:history="1">
              <w:r w:rsidRPr="00FF4F4B">
                <w:rPr>
                  <w:rFonts w:ascii="Arial" w:hAnsi="Arial" w:cs="Arial"/>
                </w:rPr>
                <w:t xml:space="preserve">guidance </w:t>
              </w:r>
              <w:r w:rsidRPr="00FF4F4B">
                <w:rPr>
                  <w:rStyle w:val="Hyperlink"/>
                  <w:rFonts w:ascii="Arial" w:hAnsi="Arial" w:cs="Arial"/>
                </w:rPr>
                <w:t>[link]</w:t>
              </w:r>
            </w:hyperlink>
            <w:r w:rsidRPr="00FF4F4B">
              <w:rPr>
                <w:rFonts w:ascii="Arial" w:hAnsi="Arial" w:cs="Arial"/>
              </w:rPr>
              <w:t xml:space="preserve"> </w:t>
            </w:r>
          </w:p>
        </w:tc>
        <w:tc>
          <w:tcPr>
            <w:tcW w:w="4846" w:type="dxa"/>
          </w:tcPr>
          <w:p w14:paraId="092ACF7D" w14:textId="77777777" w:rsidR="00BD4C34" w:rsidRPr="00FF4F4B" w:rsidRDefault="00BD4C34">
            <w:pPr>
              <w:rPr>
                <w:rFonts w:ascii="Arial" w:hAnsi="Arial" w:cs="Arial"/>
              </w:rPr>
            </w:pPr>
            <w:r w:rsidRPr="00FF4F4B">
              <w:rPr>
                <w:rFonts w:ascii="Arial" w:hAnsi="Arial" w:cs="Arial"/>
              </w:rPr>
              <w:t>-</w:t>
            </w:r>
            <w:r w:rsidRPr="00FF4F4B">
              <w:rPr>
                <w:rFonts w:ascii="Arial" w:hAnsi="Arial" w:cs="Arial"/>
                <w:b/>
                <w:bCs/>
                <w:u w:val="single"/>
              </w:rPr>
              <w:t>relevant advantage or major contribution to patient care</w:t>
            </w:r>
            <w:r w:rsidRPr="00FF4F4B">
              <w:rPr>
                <w:rFonts w:ascii="Arial" w:hAnsi="Arial" w:cs="Arial"/>
              </w:rPr>
              <w:t>.</w:t>
            </w:r>
          </w:p>
          <w:p w14:paraId="4A66A0E9" w14:textId="77777777" w:rsidR="00BD4C34" w:rsidRPr="00FF4F4B" w:rsidRDefault="00BD4C34">
            <w:pPr>
              <w:rPr>
                <w:rFonts w:ascii="Arial" w:hAnsi="Arial" w:cs="Arial"/>
                <w:b/>
                <w:bCs/>
                <w:u w:val="single"/>
              </w:rPr>
            </w:pPr>
            <w:r w:rsidRPr="00FF4F4B">
              <w:rPr>
                <w:rFonts w:ascii="Arial" w:hAnsi="Arial" w:cs="Arial"/>
                <w:b/>
                <w:bCs/>
                <w:u w:val="single"/>
              </w:rPr>
              <w:t xml:space="preserve">-demonstration of greater efficacy, </w:t>
            </w:r>
          </w:p>
          <w:p w14:paraId="5E37F4D1" w14:textId="77777777" w:rsidR="00BD4C34" w:rsidRPr="00FF4F4B" w:rsidRDefault="00BD4C34">
            <w:pPr>
              <w:rPr>
                <w:rFonts w:ascii="Arial" w:hAnsi="Arial" w:cs="Arial"/>
                <w:b/>
                <w:bCs/>
                <w:u w:val="single"/>
              </w:rPr>
            </w:pPr>
            <w:r w:rsidRPr="00FF4F4B">
              <w:rPr>
                <w:rFonts w:ascii="Arial" w:hAnsi="Arial" w:cs="Arial"/>
                <w:b/>
                <w:bCs/>
                <w:u w:val="single"/>
              </w:rPr>
              <w:t>-improved safety profile,</w:t>
            </w:r>
          </w:p>
          <w:p w14:paraId="23B7DE87" w14:textId="48AE8D6F" w:rsidR="00BD4C34" w:rsidRPr="00D77A76" w:rsidRDefault="00BD4C34">
            <w:pPr>
              <w:rPr>
                <w:rFonts w:ascii="Arial" w:eastAsia="MS PGothic" w:hAnsi="Arial" w:cs="Arial"/>
              </w:rPr>
            </w:pPr>
            <w:r w:rsidRPr="00FF4F4B">
              <w:rPr>
                <w:rFonts w:ascii="Arial" w:hAnsi="Arial" w:cs="Arial"/>
                <w:b/>
                <w:bCs/>
              </w:rPr>
              <w:t>-</w:t>
            </w:r>
            <w:r w:rsidRPr="00FF4F4B">
              <w:rPr>
                <w:rFonts w:ascii="Arial" w:hAnsi="Arial" w:cs="Arial"/>
                <w:b/>
                <w:bCs/>
                <w:u w:val="single"/>
              </w:rPr>
              <w:t xml:space="preserve">and/or more </w:t>
            </w:r>
            <w:r w:rsidR="00716BC3" w:rsidRPr="00FF4F4B">
              <w:rPr>
                <w:rFonts w:ascii="Arial" w:hAnsi="Arial" w:cs="Arial"/>
                <w:b/>
                <w:bCs/>
                <w:u w:val="single"/>
              </w:rPr>
              <w:t>favourable</w:t>
            </w:r>
            <w:r w:rsidRPr="00FF4F4B">
              <w:rPr>
                <w:rFonts w:ascii="Arial" w:hAnsi="Arial" w:cs="Arial"/>
                <w:b/>
                <w:bCs/>
                <w:u w:val="single"/>
              </w:rPr>
              <w:t xml:space="preserve"> pharmacokinetic properties resulting in demonstrable clinical advantage</w:t>
            </w:r>
            <w:r w:rsidRPr="00FF4F4B">
              <w:rPr>
                <w:rFonts w:ascii="Arial" w:hAnsi="Arial" w:cs="Arial"/>
              </w:rPr>
              <w:t xml:space="preserve">s compared to existing methods. </w:t>
            </w:r>
          </w:p>
        </w:tc>
        <w:tc>
          <w:tcPr>
            <w:tcW w:w="1957" w:type="dxa"/>
          </w:tcPr>
          <w:p w14:paraId="5FE0AA65" w14:textId="77777777" w:rsidR="00BD4C34" w:rsidRPr="00FF4F4B" w:rsidRDefault="00BD4C34">
            <w:pPr>
              <w:rPr>
                <w:rFonts w:ascii="Arial" w:hAnsi="Arial" w:cs="Arial"/>
              </w:rPr>
            </w:pPr>
            <w:r w:rsidRPr="00D77A76">
              <w:rPr>
                <w:rFonts w:ascii="Arial" w:eastAsia="MS PGothic" w:hAnsi="Arial" w:cs="Arial"/>
              </w:rPr>
              <w:t>Grant +1 year of market protection for developing a new indication</w:t>
            </w:r>
          </w:p>
        </w:tc>
      </w:tr>
      <w:tr w:rsidR="00BD4C34" w:rsidRPr="005818FA" w14:paraId="20220C70" w14:textId="77777777">
        <w:tc>
          <w:tcPr>
            <w:tcW w:w="1305" w:type="dxa"/>
          </w:tcPr>
          <w:p w14:paraId="1B5B2260" w14:textId="77777777" w:rsidR="00BD4C34" w:rsidRPr="00D77A76" w:rsidRDefault="00BD4C34">
            <w:pPr>
              <w:tabs>
                <w:tab w:val="right" w:pos="1764"/>
              </w:tabs>
              <w:rPr>
                <w:rFonts w:ascii="Arial" w:eastAsia="MS PGothic" w:hAnsi="Arial" w:cs="Arial"/>
              </w:rPr>
            </w:pPr>
            <w:r w:rsidRPr="00D77A76">
              <w:rPr>
                <w:rFonts w:ascii="Arial" w:eastAsia="MS PGothic" w:hAnsi="Arial" w:cs="Arial"/>
              </w:rPr>
              <w:t xml:space="preserve">Major therapeutic advantage </w:t>
            </w:r>
          </w:p>
        </w:tc>
        <w:tc>
          <w:tcPr>
            <w:tcW w:w="1242" w:type="dxa"/>
          </w:tcPr>
          <w:p w14:paraId="12428569" w14:textId="77777777" w:rsidR="00BD4C34" w:rsidRPr="00FF4F4B" w:rsidRDefault="00BD4C34">
            <w:pPr>
              <w:rPr>
                <w:rFonts w:ascii="Arial" w:hAnsi="Arial" w:cs="Arial"/>
                <w:lang w:val="en-US"/>
              </w:rPr>
            </w:pPr>
            <w:r w:rsidRPr="00FF4F4B">
              <w:rPr>
                <w:rFonts w:ascii="Arial" w:hAnsi="Arial" w:cs="Arial"/>
                <w:lang w:val="en-US"/>
              </w:rPr>
              <w:t>Regulation (EC) No 507/2006, Art 4(2)</w:t>
            </w:r>
          </w:p>
          <w:p w14:paraId="1D04BA07" w14:textId="77777777" w:rsidR="00BD4C34" w:rsidRPr="00D77A76" w:rsidRDefault="00BD4C34">
            <w:pPr>
              <w:rPr>
                <w:rStyle w:val="Hyperlink"/>
                <w:rFonts w:ascii="Arial" w:hAnsi="Arial" w:cs="Arial"/>
              </w:rPr>
            </w:pPr>
            <w:r w:rsidRPr="00FF4F4B">
              <w:rPr>
                <w:rFonts w:ascii="Arial" w:hAnsi="Arial" w:cs="Arial"/>
                <w:lang w:val="en-US"/>
              </w:rPr>
              <w:t>Specified in</w:t>
            </w:r>
            <w:r w:rsidRPr="00FF4F4B">
              <w:rPr>
                <w:rFonts w:ascii="Arial" w:hAnsi="Arial" w:cs="Arial"/>
              </w:rPr>
              <w:t xml:space="preserve"> guidance</w:t>
            </w:r>
            <w:r w:rsidRPr="00FF4F4B">
              <w:rPr>
                <w:rFonts w:ascii="Arial" w:hAnsi="Arial" w:cs="Arial"/>
                <w:lang w:val="en-US"/>
              </w:rPr>
              <w:t xml:space="preserve"> </w:t>
            </w:r>
            <w:hyperlink r:id="rId18" w:history="1">
              <w:r w:rsidRPr="00FF4F4B">
                <w:rPr>
                  <w:rStyle w:val="Hyperlink"/>
                  <w:rFonts w:ascii="Arial" w:hAnsi="Arial" w:cs="Arial"/>
                </w:rPr>
                <w:t xml:space="preserve"> [link]</w:t>
              </w:r>
            </w:hyperlink>
            <w:r w:rsidRPr="00FF4F4B">
              <w:rPr>
                <w:rStyle w:val="Hyperlink"/>
                <w:rFonts w:ascii="Arial" w:hAnsi="Arial" w:cs="Arial"/>
              </w:rPr>
              <w:t xml:space="preserve"> </w:t>
            </w:r>
          </w:p>
        </w:tc>
        <w:tc>
          <w:tcPr>
            <w:tcW w:w="4846" w:type="dxa"/>
          </w:tcPr>
          <w:p w14:paraId="596170D0" w14:textId="77777777" w:rsidR="00BD4C34" w:rsidRPr="00FF4F4B" w:rsidRDefault="00BD4C34">
            <w:pPr>
              <w:rPr>
                <w:rFonts w:ascii="Arial" w:hAnsi="Arial" w:cs="Arial"/>
              </w:rPr>
            </w:pPr>
            <w:r w:rsidRPr="00FF4F4B">
              <w:rPr>
                <w:rFonts w:ascii="Arial" w:hAnsi="Arial" w:cs="Arial"/>
              </w:rPr>
              <w:t>-</w:t>
            </w:r>
            <w:r w:rsidRPr="00FF4F4B">
              <w:rPr>
                <w:rFonts w:ascii="Arial" w:hAnsi="Arial" w:cs="Arial"/>
                <w:b/>
                <w:bCs/>
                <w:u w:val="single"/>
              </w:rPr>
              <w:t>Meaningful improvement</w:t>
            </w:r>
            <w:r w:rsidRPr="00FF4F4B">
              <w:rPr>
                <w:rFonts w:ascii="Arial" w:hAnsi="Arial" w:cs="Arial"/>
              </w:rPr>
              <w:t xml:space="preserve"> of efficacy (or clinical safety), such as having an impact on the </w:t>
            </w:r>
            <w:r w:rsidRPr="00FF4F4B">
              <w:rPr>
                <w:rFonts w:ascii="Arial" w:hAnsi="Arial" w:cs="Arial"/>
                <w:b/>
                <w:bCs/>
                <w:u w:val="single"/>
              </w:rPr>
              <w:t>onset and duration of the condition</w:t>
            </w:r>
            <w:r w:rsidRPr="00FF4F4B">
              <w:rPr>
                <w:rFonts w:ascii="Arial" w:hAnsi="Arial" w:cs="Arial"/>
              </w:rPr>
              <w:t xml:space="preserve">, </w:t>
            </w:r>
          </w:p>
          <w:p w14:paraId="0A31C657" w14:textId="77777777" w:rsidR="00BD4C34" w:rsidRPr="00D77A76" w:rsidRDefault="00BD4C34">
            <w:pPr>
              <w:rPr>
                <w:rFonts w:ascii="Arial" w:eastAsia="MS PGothic" w:hAnsi="Arial" w:cs="Arial"/>
              </w:rPr>
            </w:pPr>
            <w:r w:rsidRPr="00FF4F4B">
              <w:rPr>
                <w:rFonts w:ascii="Arial" w:hAnsi="Arial" w:cs="Arial"/>
              </w:rPr>
              <w:t xml:space="preserve">-or </w:t>
            </w:r>
            <w:r w:rsidRPr="00FF4F4B">
              <w:rPr>
                <w:rFonts w:ascii="Arial" w:hAnsi="Arial" w:cs="Arial"/>
                <w:b/>
                <w:bCs/>
                <w:u w:val="single"/>
              </w:rPr>
              <w:t>improving the morbidity or mortality of the disease</w:t>
            </w:r>
            <w:r w:rsidRPr="00FF4F4B">
              <w:rPr>
                <w:rFonts w:ascii="Arial" w:hAnsi="Arial" w:cs="Arial"/>
              </w:rPr>
              <w:t>.</w:t>
            </w:r>
          </w:p>
        </w:tc>
        <w:tc>
          <w:tcPr>
            <w:tcW w:w="1957" w:type="dxa"/>
          </w:tcPr>
          <w:p w14:paraId="3292A4DD" w14:textId="77777777" w:rsidR="00BD4C34" w:rsidRPr="00FF4F4B" w:rsidRDefault="00BD4C34">
            <w:pPr>
              <w:tabs>
                <w:tab w:val="right" w:pos="3043"/>
              </w:tabs>
              <w:rPr>
                <w:rFonts w:ascii="Arial" w:hAnsi="Arial" w:cs="Arial"/>
              </w:rPr>
            </w:pPr>
            <w:r w:rsidRPr="00FF4F4B">
              <w:rPr>
                <w:rFonts w:ascii="Arial" w:hAnsi="Arial" w:cs="Arial"/>
              </w:rPr>
              <w:t xml:space="preserve">Primarily in relation to the definition of unmet medical need for the purpose of granting </w:t>
            </w:r>
            <w:r w:rsidRPr="00D77A76">
              <w:rPr>
                <w:rFonts w:ascii="Arial" w:eastAsia="MS PGothic" w:hAnsi="Arial" w:cs="Arial"/>
              </w:rPr>
              <w:t xml:space="preserve">conditional marketing </w:t>
            </w:r>
            <w:r w:rsidRPr="00FF4F4B">
              <w:rPr>
                <w:rFonts w:ascii="Arial" w:hAnsi="Arial" w:cs="Arial"/>
              </w:rPr>
              <w:t>authorization.</w:t>
            </w:r>
          </w:p>
          <w:p w14:paraId="3ECB8109" w14:textId="77777777" w:rsidR="00BD4C34" w:rsidRPr="00FF4F4B" w:rsidRDefault="00BD4C34">
            <w:pPr>
              <w:rPr>
                <w:rFonts w:ascii="Arial" w:hAnsi="Arial" w:cs="Arial"/>
              </w:rPr>
            </w:pPr>
            <w:r w:rsidRPr="00FF4F4B">
              <w:rPr>
                <w:rFonts w:ascii="Arial" w:hAnsi="Arial" w:cs="Arial"/>
              </w:rPr>
              <w:t>The definition is used also in various EC and EMA guidance to assess the impact of the treatment on a condition.</w:t>
            </w:r>
          </w:p>
        </w:tc>
      </w:tr>
      <w:tr w:rsidR="00BD4C34" w:rsidRPr="005818FA" w14:paraId="7A534863" w14:textId="77777777">
        <w:tc>
          <w:tcPr>
            <w:tcW w:w="1305" w:type="dxa"/>
          </w:tcPr>
          <w:p w14:paraId="5543FA2E" w14:textId="77777777" w:rsidR="00BD4C34" w:rsidRPr="00D77A76" w:rsidRDefault="00BD4C34">
            <w:pPr>
              <w:tabs>
                <w:tab w:val="right" w:pos="1764"/>
              </w:tabs>
              <w:rPr>
                <w:rFonts w:ascii="Arial" w:eastAsia="MS PGothic" w:hAnsi="Arial" w:cs="Arial"/>
              </w:rPr>
            </w:pPr>
            <w:r w:rsidRPr="00D77A76">
              <w:rPr>
                <w:rFonts w:ascii="Arial" w:eastAsia="MS PGothic" w:hAnsi="Arial" w:cs="Arial"/>
              </w:rPr>
              <w:lastRenderedPageBreak/>
              <w:t>Significant benefit (Orphan)</w:t>
            </w:r>
          </w:p>
        </w:tc>
        <w:tc>
          <w:tcPr>
            <w:tcW w:w="1242" w:type="dxa"/>
          </w:tcPr>
          <w:p w14:paraId="2BE19A38" w14:textId="77777777" w:rsidR="00BD4C34" w:rsidRPr="00D77A76" w:rsidRDefault="00BD4C34">
            <w:pPr>
              <w:rPr>
                <w:rFonts w:ascii="Arial" w:eastAsia="MS PGothic" w:hAnsi="Arial" w:cs="Arial"/>
              </w:rPr>
            </w:pPr>
            <w:r w:rsidRPr="00D77A76">
              <w:rPr>
                <w:rFonts w:ascii="Arial" w:eastAsia="MS PGothic" w:hAnsi="Arial" w:cs="Arial"/>
              </w:rPr>
              <w:t xml:space="preserve">Commission </w:t>
            </w:r>
            <w:proofErr w:type="gramStart"/>
            <w:r w:rsidRPr="00D77A76">
              <w:rPr>
                <w:rFonts w:ascii="Arial" w:eastAsia="MS PGothic" w:hAnsi="Arial" w:cs="Arial"/>
              </w:rPr>
              <w:t>notice</w:t>
            </w:r>
            <w:proofErr w:type="gramEnd"/>
            <w:r w:rsidRPr="00D77A76">
              <w:rPr>
                <w:rFonts w:ascii="Arial" w:eastAsia="MS PGothic" w:hAnsi="Arial" w:cs="Arial"/>
              </w:rPr>
              <w:t xml:space="preserve"> on the application of Articles 3, 5 and 7 of Regulation (EC) No 141/2000 on orphan medicinal products (2016/C 424/03)</w:t>
            </w:r>
          </w:p>
        </w:tc>
        <w:tc>
          <w:tcPr>
            <w:tcW w:w="4846" w:type="dxa"/>
          </w:tcPr>
          <w:p w14:paraId="08E61237" w14:textId="77777777" w:rsidR="00BD4C34" w:rsidRPr="00D77A76" w:rsidRDefault="00BD4C34">
            <w:pPr>
              <w:rPr>
                <w:rFonts w:ascii="Arial" w:eastAsia="MS PGothic" w:hAnsi="Arial" w:cs="Arial"/>
              </w:rPr>
            </w:pPr>
            <w:r w:rsidRPr="00D77A76">
              <w:rPr>
                <w:rFonts w:ascii="Arial" w:eastAsia="MS PGothic" w:hAnsi="Arial" w:cs="Arial"/>
              </w:rPr>
              <w:t xml:space="preserve">‘a clinically relevant advantage’ may be based on: </w:t>
            </w:r>
          </w:p>
          <w:p w14:paraId="7D558079" w14:textId="77777777" w:rsidR="00BD4C34" w:rsidRPr="00D77A76" w:rsidRDefault="00BD4C34">
            <w:pPr>
              <w:rPr>
                <w:rFonts w:ascii="Arial" w:eastAsia="MS PGothic" w:hAnsi="Arial" w:cs="Arial"/>
              </w:rPr>
            </w:pPr>
            <w:r w:rsidRPr="00D77A76">
              <w:rPr>
                <w:rFonts w:ascii="Arial" w:eastAsia="MS PGothic" w:hAnsi="Arial" w:cs="Arial"/>
              </w:rPr>
              <w:t xml:space="preserve">— </w:t>
            </w:r>
            <w:r w:rsidRPr="00D77A76">
              <w:rPr>
                <w:rFonts w:ascii="Arial" w:eastAsia="MS PGothic" w:hAnsi="Arial" w:cs="Arial"/>
                <w:b/>
                <w:bCs/>
                <w:u w:val="single"/>
              </w:rPr>
              <w:t>improved efficacy for the entire population</w:t>
            </w:r>
            <w:r w:rsidRPr="00D77A76">
              <w:rPr>
                <w:rFonts w:ascii="Arial" w:eastAsia="MS PGothic" w:hAnsi="Arial" w:cs="Arial"/>
              </w:rPr>
              <w:t xml:space="preserve"> suffering from the condition </w:t>
            </w:r>
            <w:r w:rsidRPr="00D77A76">
              <w:rPr>
                <w:rFonts w:ascii="Arial" w:eastAsia="MS PGothic" w:hAnsi="Arial" w:cs="Arial"/>
                <w:b/>
                <w:bCs/>
                <w:u w:val="single"/>
              </w:rPr>
              <w:t>or a particular population subset</w:t>
            </w:r>
            <w:r w:rsidRPr="00D77A76">
              <w:rPr>
                <w:rFonts w:ascii="Arial" w:eastAsia="MS PGothic" w:hAnsi="Arial" w:cs="Arial"/>
              </w:rPr>
              <w:t xml:space="preserve"> or a subset that is resistant to the existing treatments; or </w:t>
            </w:r>
          </w:p>
          <w:p w14:paraId="542EA083" w14:textId="77777777" w:rsidR="00BD4C34" w:rsidRPr="00D77A76" w:rsidRDefault="00BD4C34">
            <w:pPr>
              <w:rPr>
                <w:rFonts w:ascii="Arial" w:eastAsia="MS PGothic" w:hAnsi="Arial" w:cs="Arial"/>
              </w:rPr>
            </w:pPr>
            <w:r w:rsidRPr="00D77A76">
              <w:rPr>
                <w:rFonts w:ascii="Arial" w:eastAsia="MS PGothic" w:hAnsi="Arial" w:cs="Arial"/>
              </w:rPr>
              <w:t xml:space="preserve">— </w:t>
            </w:r>
            <w:r w:rsidRPr="00D77A76">
              <w:rPr>
                <w:rFonts w:ascii="Arial" w:eastAsia="MS PGothic" w:hAnsi="Arial" w:cs="Arial"/>
                <w:b/>
                <w:bCs/>
                <w:u w:val="single"/>
              </w:rPr>
              <w:t>a better safety profile or a better tolerability for the entire population</w:t>
            </w:r>
            <w:r w:rsidRPr="00D77A76">
              <w:rPr>
                <w:rFonts w:ascii="Arial" w:eastAsia="MS PGothic" w:hAnsi="Arial" w:cs="Arial"/>
              </w:rPr>
              <w:t xml:space="preserve"> suffering from the condition or for a </w:t>
            </w:r>
            <w:r w:rsidRPr="00D77A76">
              <w:rPr>
                <w:rFonts w:ascii="Arial" w:eastAsia="MS PGothic" w:hAnsi="Arial" w:cs="Arial"/>
                <w:b/>
                <w:bCs/>
                <w:u w:val="single"/>
              </w:rPr>
              <w:t>particular subset</w:t>
            </w:r>
            <w:r w:rsidRPr="00D77A76">
              <w:rPr>
                <w:rFonts w:ascii="Arial" w:eastAsia="MS PGothic" w:hAnsi="Arial" w:cs="Arial"/>
              </w:rPr>
              <w:t>.</w:t>
            </w:r>
          </w:p>
          <w:p w14:paraId="1BD0937D" w14:textId="77777777" w:rsidR="00BD4C34" w:rsidRPr="00D77A76" w:rsidRDefault="00BD4C34">
            <w:pPr>
              <w:rPr>
                <w:rFonts w:ascii="Arial" w:eastAsia="MS PGothic" w:hAnsi="Arial" w:cs="Arial"/>
              </w:rPr>
            </w:pPr>
            <w:r w:rsidRPr="00D77A76">
              <w:rPr>
                <w:rFonts w:ascii="Arial" w:eastAsia="MS PGothic" w:hAnsi="Arial" w:cs="Arial"/>
              </w:rPr>
              <w:t xml:space="preserve">‘a major contribution to patient care’ may be based on: </w:t>
            </w:r>
          </w:p>
          <w:p w14:paraId="2BB6EA58" w14:textId="77777777" w:rsidR="00BD4C34" w:rsidRPr="00D77A76" w:rsidRDefault="00BD4C34">
            <w:pPr>
              <w:rPr>
                <w:rFonts w:ascii="Arial" w:eastAsia="MS PGothic" w:hAnsi="Arial" w:cs="Arial"/>
              </w:rPr>
            </w:pPr>
            <w:r w:rsidRPr="00D77A76">
              <w:rPr>
                <w:rFonts w:ascii="Arial" w:eastAsia="MS PGothic" w:hAnsi="Arial" w:cs="Arial"/>
              </w:rPr>
              <w:t xml:space="preserve">— </w:t>
            </w:r>
            <w:r w:rsidRPr="00D77A76">
              <w:rPr>
                <w:rFonts w:ascii="Arial" w:eastAsia="MS PGothic" w:hAnsi="Arial" w:cs="Arial"/>
                <w:b/>
                <w:bCs/>
                <w:u w:val="single"/>
              </w:rPr>
              <w:t>ease of self-administration</w:t>
            </w:r>
            <w:r w:rsidRPr="00D77A76">
              <w:rPr>
                <w:rFonts w:ascii="Arial" w:eastAsia="MS PGothic" w:hAnsi="Arial" w:cs="Arial"/>
              </w:rPr>
              <w:t xml:space="preserve">, </w:t>
            </w:r>
            <w:proofErr w:type="gramStart"/>
            <w:r w:rsidRPr="00D77A76">
              <w:rPr>
                <w:rFonts w:ascii="Arial" w:eastAsia="MS PGothic" w:hAnsi="Arial" w:cs="Arial"/>
              </w:rPr>
              <w:t>e.g.</w:t>
            </w:r>
            <w:proofErr w:type="gramEnd"/>
            <w:r w:rsidRPr="00D77A76">
              <w:rPr>
                <w:rFonts w:ascii="Arial" w:eastAsia="MS PGothic" w:hAnsi="Arial" w:cs="Arial"/>
              </w:rPr>
              <w:t xml:space="preserve"> if the new treatment allows ambulatory treatment instead of treatment in a hospital only or if it has a significant impact on convenience of use and reduces treatment burden; </w:t>
            </w:r>
          </w:p>
          <w:p w14:paraId="2348F3D5" w14:textId="77777777" w:rsidR="00BD4C34" w:rsidRPr="00D77A76" w:rsidRDefault="00BD4C34">
            <w:pPr>
              <w:rPr>
                <w:rFonts w:ascii="Arial" w:eastAsia="MS PGothic" w:hAnsi="Arial" w:cs="Arial"/>
              </w:rPr>
            </w:pPr>
            <w:r w:rsidRPr="00D77A76">
              <w:rPr>
                <w:rFonts w:ascii="Arial" w:eastAsia="MS PGothic" w:hAnsi="Arial" w:cs="Arial"/>
              </w:rPr>
              <w:t xml:space="preserve">or — </w:t>
            </w:r>
            <w:r w:rsidRPr="00D77A76">
              <w:rPr>
                <w:rFonts w:ascii="Arial" w:eastAsia="MS PGothic" w:hAnsi="Arial" w:cs="Arial"/>
                <w:b/>
                <w:bCs/>
                <w:u w:val="single"/>
              </w:rPr>
              <w:t>significantly improved adherence</w:t>
            </w:r>
            <w:r w:rsidRPr="00D77A76">
              <w:rPr>
                <w:rFonts w:ascii="Arial" w:eastAsia="MS PGothic" w:hAnsi="Arial" w:cs="Arial"/>
              </w:rPr>
              <w:t xml:space="preserve"> to treatment due to a change in pharmaceutical form</w:t>
            </w:r>
          </w:p>
        </w:tc>
        <w:tc>
          <w:tcPr>
            <w:tcW w:w="1957" w:type="dxa"/>
          </w:tcPr>
          <w:p w14:paraId="40BEFF41" w14:textId="77777777" w:rsidR="00BD4C34" w:rsidRPr="00FF4F4B" w:rsidRDefault="00BD4C34">
            <w:pPr>
              <w:rPr>
                <w:rFonts w:ascii="Arial" w:eastAsia="MS PGothic" w:hAnsi="Arial" w:cs="Arial"/>
              </w:rPr>
            </w:pPr>
            <w:r w:rsidRPr="00FF4F4B">
              <w:rPr>
                <w:rFonts w:ascii="Arial" w:hAnsi="Arial" w:cs="Arial"/>
              </w:rPr>
              <w:t>Obtain orphan designation and maintain it if confirmed at time of marketing authorisation</w:t>
            </w:r>
          </w:p>
        </w:tc>
      </w:tr>
      <w:tr w:rsidR="00BD4C34" w:rsidRPr="005818FA" w14:paraId="78C99A4D" w14:textId="77777777">
        <w:tc>
          <w:tcPr>
            <w:tcW w:w="1305" w:type="dxa"/>
          </w:tcPr>
          <w:p w14:paraId="680CEDC1" w14:textId="77777777" w:rsidR="00BD4C34" w:rsidRPr="00FF4F4B" w:rsidRDefault="00BD4C34">
            <w:pPr>
              <w:tabs>
                <w:tab w:val="right" w:pos="1764"/>
              </w:tabs>
              <w:rPr>
                <w:rFonts w:ascii="Arial" w:eastAsia="MS PGothic" w:hAnsi="Arial" w:cs="Arial"/>
              </w:rPr>
            </w:pPr>
            <w:r w:rsidRPr="00FF4F4B">
              <w:rPr>
                <w:rFonts w:ascii="Arial" w:hAnsi="Arial" w:cs="Arial"/>
              </w:rPr>
              <w:t>Major public health interest</w:t>
            </w:r>
          </w:p>
        </w:tc>
        <w:tc>
          <w:tcPr>
            <w:tcW w:w="1242" w:type="dxa"/>
          </w:tcPr>
          <w:p w14:paraId="530A059D" w14:textId="77777777" w:rsidR="00BD4C34" w:rsidRPr="00FF4F4B" w:rsidRDefault="00BD4C34">
            <w:pPr>
              <w:rPr>
                <w:rFonts w:ascii="Arial" w:eastAsia="MS PGothic" w:hAnsi="Arial" w:cs="Arial"/>
              </w:rPr>
            </w:pPr>
            <w:r w:rsidRPr="00FF4F4B">
              <w:rPr>
                <w:rFonts w:ascii="Arial" w:hAnsi="Arial" w:cs="Arial"/>
              </w:rPr>
              <w:t>Regulation (EC) No 726/2004, Art 14(9)</w:t>
            </w:r>
          </w:p>
        </w:tc>
        <w:tc>
          <w:tcPr>
            <w:tcW w:w="4846" w:type="dxa"/>
          </w:tcPr>
          <w:p w14:paraId="42864595" w14:textId="77777777" w:rsidR="00BD4C34" w:rsidRPr="00FF4F4B" w:rsidRDefault="00BD4C34">
            <w:pPr>
              <w:rPr>
                <w:rFonts w:ascii="Arial" w:hAnsi="Arial" w:cs="Arial"/>
              </w:rPr>
            </w:pPr>
            <w:r w:rsidRPr="00FF4F4B">
              <w:rPr>
                <w:rFonts w:ascii="Arial" w:hAnsi="Arial" w:cs="Arial"/>
              </w:rPr>
              <w:t xml:space="preserve">EMA recognises that there is no single definition of what constitutes major public health interest; each individual situation should be justified by the Applicant and will be assessed by the CHMP on a case-by-case basis. </w:t>
            </w:r>
          </w:p>
          <w:p w14:paraId="34282E09" w14:textId="77777777" w:rsidR="00BD4C34" w:rsidRPr="00FF4F4B" w:rsidRDefault="00BD4C34">
            <w:pPr>
              <w:rPr>
                <w:rFonts w:ascii="Arial" w:eastAsia="MS PGothic" w:hAnsi="Arial" w:cs="Arial"/>
              </w:rPr>
            </w:pPr>
            <w:r w:rsidRPr="00FF4F4B">
              <w:rPr>
                <w:rFonts w:ascii="Arial" w:hAnsi="Arial" w:cs="Arial"/>
              </w:rPr>
              <w:t>There are also criteria to define public health emergency in the Decision 1082/2013/EU Art.12</w:t>
            </w:r>
          </w:p>
        </w:tc>
        <w:tc>
          <w:tcPr>
            <w:tcW w:w="1957" w:type="dxa"/>
          </w:tcPr>
          <w:p w14:paraId="047ADEFF" w14:textId="77777777" w:rsidR="00BD4C34" w:rsidRPr="00FF4F4B" w:rsidRDefault="00BD4C34">
            <w:pPr>
              <w:rPr>
                <w:rFonts w:ascii="Arial" w:hAnsi="Arial" w:cs="Arial"/>
              </w:rPr>
            </w:pPr>
            <w:r w:rsidRPr="00FF4F4B">
              <w:rPr>
                <w:rFonts w:ascii="Arial" w:hAnsi="Arial" w:cs="Arial"/>
              </w:rPr>
              <w:t xml:space="preserve">Accelerated assessment </w:t>
            </w:r>
          </w:p>
        </w:tc>
      </w:tr>
      <w:tr w:rsidR="00BD4C34" w:rsidRPr="005818FA" w14:paraId="6F6E9AD6" w14:textId="77777777">
        <w:tc>
          <w:tcPr>
            <w:tcW w:w="1305" w:type="dxa"/>
          </w:tcPr>
          <w:p w14:paraId="6931689E" w14:textId="77777777" w:rsidR="00BD4C34" w:rsidRPr="00FF4F4B" w:rsidRDefault="00BD4C34">
            <w:pPr>
              <w:tabs>
                <w:tab w:val="right" w:pos="1764"/>
              </w:tabs>
              <w:rPr>
                <w:rFonts w:ascii="Arial" w:hAnsi="Arial" w:cs="Arial"/>
              </w:rPr>
            </w:pPr>
            <w:r w:rsidRPr="00FF4F4B">
              <w:rPr>
                <w:rFonts w:ascii="Arial" w:hAnsi="Arial" w:cs="Arial"/>
              </w:rPr>
              <w:t>EU HTA</w:t>
            </w:r>
          </w:p>
        </w:tc>
        <w:tc>
          <w:tcPr>
            <w:tcW w:w="1242" w:type="dxa"/>
          </w:tcPr>
          <w:p w14:paraId="27875DED" w14:textId="77777777" w:rsidR="00BD4C34" w:rsidRPr="00FF4F4B" w:rsidRDefault="00BD4C34">
            <w:pPr>
              <w:rPr>
                <w:rFonts w:ascii="Arial" w:hAnsi="Arial" w:cs="Arial"/>
              </w:rPr>
            </w:pPr>
            <w:proofErr w:type="gramStart"/>
            <w:r w:rsidRPr="00FF4F4B">
              <w:rPr>
                <w:rFonts w:ascii="Arial" w:hAnsi="Arial" w:cs="Arial"/>
                <w:color w:val="333333"/>
                <w:shd w:val="clear" w:color="auto" w:fill="FFFFFF"/>
              </w:rPr>
              <w:t>Regulation(</w:t>
            </w:r>
            <w:proofErr w:type="gramEnd"/>
            <w:r w:rsidRPr="00FF4F4B">
              <w:rPr>
                <w:rFonts w:ascii="Arial" w:hAnsi="Arial" w:cs="Arial"/>
                <w:color w:val="333333"/>
                <w:shd w:val="clear" w:color="auto" w:fill="FFFFFF"/>
              </w:rPr>
              <w:t>EU) 2021/2282,</w:t>
            </w:r>
            <w:r w:rsidRPr="00FF4F4B">
              <w:rPr>
                <w:rFonts w:ascii="Arial" w:hAnsi="Arial" w:cs="Arial"/>
              </w:rPr>
              <w:t xml:space="preserve"> Art 7 (4)</w:t>
            </w:r>
            <w:r>
              <w:rPr>
                <w:rFonts w:ascii="Arial" w:hAnsi="Arial" w:cs="Arial"/>
              </w:rPr>
              <w:t>(a)</w:t>
            </w:r>
            <w:r w:rsidRPr="00FF4F4B">
              <w:rPr>
                <w:rFonts w:ascii="Arial" w:hAnsi="Arial" w:cs="Arial"/>
              </w:rPr>
              <w:t>, Art 17(3)</w:t>
            </w:r>
            <w:r>
              <w:rPr>
                <w:rFonts w:ascii="Arial" w:hAnsi="Arial" w:cs="Arial"/>
              </w:rPr>
              <w:t>(a)</w:t>
            </w:r>
          </w:p>
        </w:tc>
        <w:tc>
          <w:tcPr>
            <w:tcW w:w="4846" w:type="dxa"/>
          </w:tcPr>
          <w:p w14:paraId="0F2B0F7D" w14:textId="77777777" w:rsidR="00BD4C34" w:rsidRPr="00642C5D" w:rsidRDefault="00BD4C34">
            <w:pPr>
              <w:rPr>
                <w:rFonts w:ascii="Arial" w:hAnsi="Arial" w:cs="Arial"/>
              </w:rPr>
            </w:pPr>
            <w:r>
              <w:rPr>
                <w:rFonts w:ascii="Arial" w:hAnsi="Arial" w:cs="Arial"/>
              </w:rPr>
              <w:t xml:space="preserve">Although the EU HTA Regulation does not include a new definition of unmet medical needs, </w:t>
            </w:r>
            <w:proofErr w:type="spellStart"/>
            <w:r w:rsidRPr="00642C5D">
              <w:rPr>
                <w:rFonts w:ascii="Arial" w:hAnsi="Arial" w:cs="Arial"/>
              </w:rPr>
              <w:t>EUnetHTA</w:t>
            </w:r>
            <w:proofErr w:type="spellEnd"/>
            <w:r w:rsidRPr="00642C5D">
              <w:rPr>
                <w:rFonts w:ascii="Arial" w:hAnsi="Arial" w:cs="Arial"/>
              </w:rPr>
              <w:t xml:space="preserve"> 21 is developing more guidance on the </w:t>
            </w:r>
            <w:r>
              <w:rPr>
                <w:rFonts w:ascii="Arial" w:hAnsi="Arial" w:cs="Arial"/>
              </w:rPr>
              <w:t xml:space="preserve">below </w:t>
            </w:r>
            <w:r w:rsidRPr="00642C5D">
              <w:rPr>
                <w:rFonts w:ascii="Arial" w:hAnsi="Arial" w:cs="Arial"/>
              </w:rPr>
              <w:t>selection criteria:</w:t>
            </w:r>
          </w:p>
          <w:p w14:paraId="01FDDF58" w14:textId="77777777" w:rsidR="00BD4C34" w:rsidRPr="00642C5D" w:rsidRDefault="00BD4C34" w:rsidP="004F7410">
            <w:pPr>
              <w:pStyle w:val="ListParagraph"/>
              <w:numPr>
                <w:ilvl w:val="0"/>
                <w:numId w:val="13"/>
              </w:numPr>
            </w:pPr>
            <w:r w:rsidRPr="00642C5D">
              <w:t>Unmet medical needs (no treatment or only unsatisfactory treatment available) (def of Regulation (EC) No 726/2004 – see above)</w:t>
            </w:r>
          </w:p>
          <w:p w14:paraId="036DD78A" w14:textId="77777777" w:rsidR="00BD4C34" w:rsidRPr="00642C5D" w:rsidRDefault="00BD4C34" w:rsidP="004F7410">
            <w:pPr>
              <w:pStyle w:val="ListParagraph"/>
              <w:numPr>
                <w:ilvl w:val="0"/>
                <w:numId w:val="13"/>
              </w:numPr>
            </w:pPr>
            <w:r w:rsidRPr="00642C5D">
              <w:t xml:space="preserve">first in </w:t>
            </w:r>
            <w:proofErr w:type="gramStart"/>
            <w:r w:rsidRPr="00642C5D">
              <w:t>class;</w:t>
            </w:r>
            <w:proofErr w:type="gramEnd"/>
          </w:p>
          <w:p w14:paraId="27F26ED3" w14:textId="77777777" w:rsidR="00BD4C34" w:rsidRPr="00642C5D" w:rsidRDefault="00BD4C34" w:rsidP="004F7410">
            <w:pPr>
              <w:pStyle w:val="ListParagraph"/>
              <w:numPr>
                <w:ilvl w:val="0"/>
                <w:numId w:val="13"/>
              </w:numPr>
            </w:pPr>
            <w:r w:rsidRPr="00642C5D">
              <w:lastRenderedPageBreak/>
              <w:t xml:space="preserve">potential impact on patients, public health, or healthcare </w:t>
            </w:r>
            <w:proofErr w:type="gramStart"/>
            <w:r w:rsidRPr="00642C5D">
              <w:t>systems;</w:t>
            </w:r>
            <w:proofErr w:type="gramEnd"/>
          </w:p>
          <w:p w14:paraId="1A926D23" w14:textId="77777777" w:rsidR="00BD4C34" w:rsidRPr="00642C5D" w:rsidRDefault="00BD4C34" w:rsidP="004F7410">
            <w:pPr>
              <w:pStyle w:val="ListParagraph"/>
              <w:numPr>
                <w:ilvl w:val="0"/>
                <w:numId w:val="13"/>
              </w:numPr>
            </w:pPr>
            <w:r w:rsidRPr="00642C5D">
              <w:t xml:space="preserve">significant cross-border </w:t>
            </w:r>
            <w:proofErr w:type="gramStart"/>
            <w:r w:rsidRPr="00642C5D">
              <w:t>dimension;</w:t>
            </w:r>
            <w:proofErr w:type="gramEnd"/>
          </w:p>
          <w:p w14:paraId="7E718FCC" w14:textId="77777777" w:rsidR="00BD4C34" w:rsidRDefault="00BD4C34" w:rsidP="004F7410">
            <w:pPr>
              <w:pStyle w:val="ListParagraph"/>
              <w:numPr>
                <w:ilvl w:val="0"/>
                <w:numId w:val="13"/>
              </w:numPr>
            </w:pPr>
            <w:r w:rsidRPr="00642C5D">
              <w:t xml:space="preserve">major union-wide added </w:t>
            </w:r>
            <w:proofErr w:type="gramStart"/>
            <w:r w:rsidRPr="00642C5D">
              <w:t>value;</w:t>
            </w:r>
            <w:proofErr w:type="gramEnd"/>
          </w:p>
          <w:p w14:paraId="65A67084" w14:textId="77777777" w:rsidR="00BD4C34" w:rsidRPr="00F22937" w:rsidRDefault="00BD4C34" w:rsidP="004F7410">
            <w:pPr>
              <w:pStyle w:val="ListParagraph"/>
              <w:numPr>
                <w:ilvl w:val="0"/>
                <w:numId w:val="13"/>
              </w:numPr>
            </w:pPr>
            <w:r w:rsidRPr="00F22937">
              <w:t>union clinical research priorities.</w:t>
            </w:r>
          </w:p>
        </w:tc>
        <w:tc>
          <w:tcPr>
            <w:tcW w:w="1957" w:type="dxa"/>
          </w:tcPr>
          <w:p w14:paraId="3D3773A9" w14:textId="77777777" w:rsidR="00BD4C34" w:rsidRPr="00FF4F4B" w:rsidRDefault="00BD4C34">
            <w:pPr>
              <w:tabs>
                <w:tab w:val="right" w:pos="3043"/>
              </w:tabs>
              <w:rPr>
                <w:rFonts w:ascii="Arial" w:hAnsi="Arial" w:cs="Arial"/>
              </w:rPr>
            </w:pPr>
            <w:r w:rsidRPr="00FF4F4B">
              <w:rPr>
                <w:rFonts w:ascii="Arial" w:hAnsi="Arial" w:cs="Arial"/>
              </w:rPr>
              <w:lastRenderedPageBreak/>
              <w:t xml:space="preserve">Products to be </w:t>
            </w:r>
            <w:r>
              <w:rPr>
                <w:rFonts w:ascii="Arial" w:hAnsi="Arial" w:cs="Arial"/>
              </w:rPr>
              <w:t>selected</w:t>
            </w:r>
            <w:r w:rsidRPr="00FF4F4B">
              <w:rPr>
                <w:rFonts w:ascii="Arial" w:hAnsi="Arial" w:cs="Arial"/>
              </w:rPr>
              <w:t xml:space="preserve"> to receive </w:t>
            </w:r>
            <w:r>
              <w:rPr>
                <w:rFonts w:ascii="Arial" w:hAnsi="Arial" w:cs="Arial"/>
              </w:rPr>
              <w:t>Joint Scientific Consultation</w:t>
            </w:r>
          </w:p>
          <w:p w14:paraId="135CEFF7" w14:textId="77777777" w:rsidR="00BD4C34" w:rsidRPr="00FF4F4B" w:rsidRDefault="00BD4C34">
            <w:pPr>
              <w:rPr>
                <w:rFonts w:ascii="Arial" w:hAnsi="Arial" w:cs="Arial"/>
              </w:rPr>
            </w:pPr>
          </w:p>
        </w:tc>
      </w:tr>
      <w:tr w:rsidR="00BD4C34" w:rsidRPr="005818FA" w14:paraId="0B8682FC" w14:textId="77777777">
        <w:tc>
          <w:tcPr>
            <w:tcW w:w="1305" w:type="dxa"/>
          </w:tcPr>
          <w:p w14:paraId="01370838" w14:textId="77777777" w:rsidR="00BD4C34" w:rsidRPr="00FF4F4B" w:rsidRDefault="00BD4C34">
            <w:pPr>
              <w:tabs>
                <w:tab w:val="right" w:pos="1764"/>
              </w:tabs>
              <w:rPr>
                <w:rFonts w:ascii="Arial" w:hAnsi="Arial" w:cs="Arial"/>
              </w:rPr>
            </w:pPr>
            <w:r w:rsidRPr="00FF4F4B">
              <w:rPr>
                <w:rFonts w:ascii="Arial" w:hAnsi="Arial" w:cs="Arial"/>
              </w:rPr>
              <w:t>PRIME</w:t>
            </w:r>
          </w:p>
        </w:tc>
        <w:tc>
          <w:tcPr>
            <w:tcW w:w="1242" w:type="dxa"/>
          </w:tcPr>
          <w:p w14:paraId="37430537" w14:textId="77777777" w:rsidR="00BD4C34" w:rsidRPr="00FF4F4B" w:rsidRDefault="00BD4C34">
            <w:pPr>
              <w:rPr>
                <w:rFonts w:ascii="Arial" w:hAnsi="Arial" w:cs="Arial"/>
              </w:rPr>
            </w:pPr>
            <w:r w:rsidRPr="00FF4F4B">
              <w:rPr>
                <w:rFonts w:ascii="Arial" w:hAnsi="Arial" w:cs="Arial"/>
              </w:rPr>
              <w:t xml:space="preserve">The scheme is not established under EU </w:t>
            </w:r>
            <w:proofErr w:type="gramStart"/>
            <w:r w:rsidRPr="00FF4F4B">
              <w:rPr>
                <w:rFonts w:ascii="Arial" w:hAnsi="Arial" w:cs="Arial"/>
              </w:rPr>
              <w:t>legislation, but</w:t>
            </w:r>
            <w:proofErr w:type="gramEnd"/>
            <w:r w:rsidRPr="00FF4F4B">
              <w:rPr>
                <w:rFonts w:ascii="Arial" w:hAnsi="Arial" w:cs="Arial"/>
              </w:rPr>
              <w:t xml:space="preserve"> is an excellent example of the flexibility allotted to the EMA to address the needs of the healthcare community and fill existing needs.</w:t>
            </w:r>
          </w:p>
          <w:p w14:paraId="212BE3A7" w14:textId="77777777" w:rsidR="00BD4C34" w:rsidRPr="00FF4F4B" w:rsidRDefault="00BD4C34">
            <w:pPr>
              <w:rPr>
                <w:rFonts w:ascii="Arial" w:hAnsi="Arial" w:cs="Arial"/>
              </w:rPr>
            </w:pPr>
          </w:p>
        </w:tc>
        <w:tc>
          <w:tcPr>
            <w:tcW w:w="4846" w:type="dxa"/>
          </w:tcPr>
          <w:p w14:paraId="2BC9465A" w14:textId="77777777" w:rsidR="00BD4C34" w:rsidRPr="00FF4F4B" w:rsidRDefault="00BD4C34">
            <w:pPr>
              <w:rPr>
                <w:rFonts w:ascii="Arial" w:eastAsia="MS PGothic" w:hAnsi="Arial" w:cs="Arial"/>
              </w:rPr>
            </w:pPr>
            <w:r w:rsidRPr="00FF4F4B">
              <w:rPr>
                <w:rFonts w:ascii="Arial" w:hAnsi="Arial" w:cs="Arial"/>
              </w:rPr>
              <w:t>The EMA uses the same interpretation of UMN used for a product to be eligible for Conditional Marketing Authorisation, and must demonstrate this benefit by means of early clinical data</w:t>
            </w:r>
            <w:r w:rsidRPr="00FF4F4B">
              <w:rPr>
                <w:rStyle w:val="FootnoteReference"/>
                <w:rFonts w:ascii="Arial" w:hAnsi="Arial" w:cs="Arial"/>
              </w:rPr>
              <w:footnoteReference w:id="13"/>
            </w:r>
          </w:p>
        </w:tc>
        <w:tc>
          <w:tcPr>
            <w:tcW w:w="1957" w:type="dxa"/>
          </w:tcPr>
          <w:p w14:paraId="639CA583" w14:textId="77777777" w:rsidR="00BD4C34" w:rsidRPr="00FF4F4B" w:rsidRDefault="00BD4C34">
            <w:pPr>
              <w:rPr>
                <w:rFonts w:ascii="Arial" w:hAnsi="Arial" w:cs="Arial"/>
              </w:rPr>
            </w:pPr>
            <w:r w:rsidRPr="00FF4F4B">
              <w:rPr>
                <w:rFonts w:ascii="Arial" w:hAnsi="Arial" w:cs="Arial"/>
              </w:rPr>
              <w:t xml:space="preserve">Eligibility for PRIME a priority review scheme set to speed up the development of medicines that could potentially address an unmet medical need. </w:t>
            </w:r>
          </w:p>
        </w:tc>
      </w:tr>
      <w:tr w:rsidR="00BD4C34" w:rsidRPr="005818FA" w14:paraId="5DDE3627" w14:textId="77777777">
        <w:tc>
          <w:tcPr>
            <w:tcW w:w="1305" w:type="dxa"/>
          </w:tcPr>
          <w:p w14:paraId="425BC2B5" w14:textId="77777777" w:rsidR="00BD4C34" w:rsidRPr="00FF4F4B" w:rsidRDefault="00BD4C34">
            <w:pPr>
              <w:tabs>
                <w:tab w:val="right" w:pos="1764"/>
              </w:tabs>
              <w:rPr>
                <w:rFonts w:ascii="Arial" w:hAnsi="Arial" w:cs="Arial"/>
                <w:b/>
                <w:bCs/>
              </w:rPr>
            </w:pPr>
            <w:r w:rsidRPr="00FF4F4B">
              <w:rPr>
                <w:rFonts w:ascii="Arial" w:hAnsi="Arial" w:cs="Arial"/>
              </w:rPr>
              <w:t>Paediatric Products Regulation</w:t>
            </w:r>
          </w:p>
        </w:tc>
        <w:tc>
          <w:tcPr>
            <w:tcW w:w="1242" w:type="dxa"/>
          </w:tcPr>
          <w:p w14:paraId="55496654" w14:textId="77777777" w:rsidR="00BD4C34" w:rsidRPr="00FF4F4B" w:rsidRDefault="00BD4C34">
            <w:pPr>
              <w:rPr>
                <w:rFonts w:ascii="Arial" w:hAnsi="Arial" w:cs="Arial"/>
              </w:rPr>
            </w:pPr>
            <w:r w:rsidRPr="00FF4F4B">
              <w:rPr>
                <w:rFonts w:ascii="Arial" w:hAnsi="Arial" w:cs="Arial"/>
              </w:rPr>
              <w:t>Regulation</w:t>
            </w:r>
            <w:r w:rsidRPr="00FF4F4B">
              <w:rPr>
                <w:rFonts w:ascii="Arial" w:hAnsi="Arial" w:cs="Arial"/>
                <w:color w:val="4D5156"/>
                <w:shd w:val="clear" w:color="auto" w:fill="FFFFFF"/>
              </w:rPr>
              <w:t> (EC) No 1901/2006, Art 43</w:t>
            </w:r>
          </w:p>
        </w:tc>
        <w:tc>
          <w:tcPr>
            <w:tcW w:w="4846" w:type="dxa"/>
          </w:tcPr>
          <w:p w14:paraId="7BE796C7" w14:textId="77777777" w:rsidR="00BD4C34" w:rsidRPr="00FF4F4B" w:rsidRDefault="00BD4C34">
            <w:pPr>
              <w:rPr>
                <w:rFonts w:ascii="Arial" w:hAnsi="Arial" w:cs="Arial"/>
              </w:rPr>
            </w:pPr>
            <w:r w:rsidRPr="00FF4F4B">
              <w:rPr>
                <w:rFonts w:ascii="Arial" w:hAnsi="Arial" w:cs="Arial"/>
                <w:b/>
                <w:bCs/>
                <w:u w:val="single"/>
              </w:rPr>
              <w:t>The prevalence</w:t>
            </w:r>
            <w:r w:rsidRPr="00FF4F4B">
              <w:rPr>
                <w:rFonts w:ascii="Arial" w:hAnsi="Arial" w:cs="Arial"/>
              </w:rPr>
              <w:t xml:space="preserve"> of the conditions in the paediatric population, </w:t>
            </w:r>
          </w:p>
          <w:p w14:paraId="7E905091" w14:textId="77777777" w:rsidR="00BD4C34" w:rsidRPr="00FF4F4B" w:rsidRDefault="00BD4C34">
            <w:pPr>
              <w:rPr>
                <w:rFonts w:ascii="Arial" w:hAnsi="Arial" w:cs="Arial"/>
              </w:rPr>
            </w:pPr>
            <w:r w:rsidRPr="00FF4F4B">
              <w:rPr>
                <w:rFonts w:ascii="Arial" w:hAnsi="Arial" w:cs="Arial"/>
                <w:b/>
                <w:bCs/>
                <w:u w:val="single"/>
              </w:rPr>
              <w:t>The seriousness</w:t>
            </w:r>
            <w:r w:rsidRPr="00FF4F4B">
              <w:rPr>
                <w:rFonts w:ascii="Arial" w:hAnsi="Arial" w:cs="Arial"/>
              </w:rPr>
              <w:t xml:space="preserve"> of the conditions to be treated, </w:t>
            </w:r>
          </w:p>
          <w:p w14:paraId="016FC9AF" w14:textId="77777777" w:rsidR="00BD4C34" w:rsidRPr="00FF4F4B" w:rsidRDefault="00BD4C34">
            <w:pPr>
              <w:rPr>
                <w:rFonts w:ascii="Arial" w:hAnsi="Arial" w:cs="Arial"/>
              </w:rPr>
            </w:pPr>
            <w:r w:rsidRPr="00FF4F4B">
              <w:rPr>
                <w:rFonts w:ascii="Arial" w:hAnsi="Arial" w:cs="Arial"/>
                <w:b/>
                <w:bCs/>
                <w:u w:val="single"/>
              </w:rPr>
              <w:t>The availability and suitability of alternative treatments</w:t>
            </w:r>
            <w:r w:rsidRPr="00FF4F4B">
              <w:rPr>
                <w:rFonts w:ascii="Arial" w:hAnsi="Arial" w:cs="Arial"/>
              </w:rPr>
              <w:t xml:space="preserve"> for the conditions in the paediatric population, including the efficacy and the adverse reaction profile of those treatments, including any unique paediatric safety issues.</w:t>
            </w:r>
          </w:p>
        </w:tc>
        <w:tc>
          <w:tcPr>
            <w:tcW w:w="1957" w:type="dxa"/>
          </w:tcPr>
          <w:p w14:paraId="3898ED8E" w14:textId="77777777" w:rsidR="00BD4C34" w:rsidRPr="00FF4F4B" w:rsidRDefault="00BD4C34">
            <w:pPr>
              <w:rPr>
                <w:rFonts w:ascii="Arial" w:hAnsi="Arial" w:cs="Arial"/>
                <w:b/>
                <w:bCs/>
                <w:u w:val="single"/>
              </w:rPr>
            </w:pPr>
            <w:r w:rsidRPr="00FF4F4B">
              <w:rPr>
                <w:rFonts w:ascii="Arial" w:hAnsi="Arial" w:cs="Arial"/>
              </w:rPr>
              <w:t xml:space="preserve">Identify paediatric research priorities </w:t>
            </w:r>
          </w:p>
        </w:tc>
      </w:tr>
    </w:tbl>
    <w:p w14:paraId="30D06C1B" w14:textId="77777777" w:rsidR="00BD4C34" w:rsidRDefault="00BD4C34" w:rsidP="00BD4C34">
      <w:pPr>
        <w:jc w:val="both"/>
        <w:rPr>
          <w:rFonts w:ascii="Arial" w:hAnsi="Arial" w:cs="Arial"/>
        </w:rPr>
      </w:pPr>
    </w:p>
    <w:p w14:paraId="7E3F7658" w14:textId="77777777" w:rsidR="0020061D" w:rsidRPr="0083450E" w:rsidRDefault="0020061D" w:rsidP="009517E8">
      <w:pPr>
        <w:jc w:val="both"/>
        <w:rPr>
          <w:rFonts w:ascii="Arial" w:hAnsi="Arial" w:cs="Arial"/>
        </w:rPr>
      </w:pPr>
    </w:p>
    <w:sectPr w:rsidR="0020061D" w:rsidRPr="0083450E" w:rsidSect="00B47DC1">
      <w:headerReference w:type="default" r:id="rId19"/>
      <w:footerReference w:type="default" r:id="rId20"/>
      <w:headerReference w:type="first" r:id="rId21"/>
      <w:footerReference w:type="first" r:id="rId22"/>
      <w:pgSz w:w="12240" w:h="15840" w:code="1"/>
      <w:pgMar w:top="2719" w:right="1440" w:bottom="1985" w:left="1440" w:header="680" w:footer="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Victor Maertens" w:date="2022-09-15T16:06:00Z" w:initials="VM">
    <w:p w14:paraId="1AC02E92" w14:textId="77777777" w:rsidR="00D05859" w:rsidRDefault="00D05859" w:rsidP="00D05859">
      <w:pPr>
        <w:pStyle w:val="CommentText"/>
      </w:pPr>
      <w:r>
        <w:rPr>
          <w:rStyle w:val="CommentReference"/>
        </w:rPr>
        <w:annotationRef/>
      </w:r>
      <w:r>
        <w:t>Will be included in a pull-out box</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AC02E9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CDCC1F" w16cex:dateUtc="2022-09-15T14:0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AC02E92" w16cid:durableId="26CDCC1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960579" w14:textId="77777777" w:rsidR="00F35543" w:rsidRDefault="00F35543" w:rsidP="00376205">
      <w:r>
        <w:separator/>
      </w:r>
    </w:p>
  </w:endnote>
  <w:endnote w:type="continuationSeparator" w:id="0">
    <w:p w14:paraId="77D75419" w14:textId="77777777" w:rsidR="00F35543" w:rsidRDefault="00F35543" w:rsidP="00376205">
      <w:r>
        <w:continuationSeparator/>
      </w:r>
    </w:p>
  </w:endnote>
  <w:endnote w:type="continuationNotice" w:id="1">
    <w:p w14:paraId="29C45775" w14:textId="77777777" w:rsidR="00F35543" w:rsidRDefault="00F35543">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color w:val="003C72"/>
      </w:rPr>
      <w:id w:val="-1907758700"/>
      <w:docPartObj>
        <w:docPartGallery w:val="Page Numbers (Bottom of Page)"/>
        <w:docPartUnique/>
      </w:docPartObj>
    </w:sdtPr>
    <w:sdtContent>
      <w:sdt>
        <w:sdtPr>
          <w:rPr>
            <w:b/>
            <w:color w:val="003C72"/>
          </w:rPr>
          <w:id w:val="-1769616900"/>
          <w:docPartObj>
            <w:docPartGallery w:val="Page Numbers (Top of Page)"/>
            <w:docPartUnique/>
          </w:docPartObj>
        </w:sdtPr>
        <w:sdtContent>
          <w:p w14:paraId="70EF560B" w14:textId="77777777" w:rsidR="00E71141" w:rsidRPr="00E71141" w:rsidRDefault="00E71141">
            <w:pPr>
              <w:pStyle w:val="Footer"/>
              <w:jc w:val="right"/>
              <w:rPr>
                <w:b/>
              </w:rPr>
            </w:pPr>
            <w:r w:rsidRPr="00E71141">
              <w:rPr>
                <w:b/>
                <w:color w:val="003C72"/>
              </w:rPr>
              <w:t xml:space="preserve">Page </w:t>
            </w:r>
            <w:r w:rsidRPr="00E71141">
              <w:rPr>
                <w:b/>
                <w:bCs/>
                <w:color w:val="FDC300"/>
                <w:sz w:val="24"/>
                <w:szCs w:val="24"/>
              </w:rPr>
              <w:fldChar w:fldCharType="begin"/>
            </w:r>
            <w:r w:rsidRPr="00E71141">
              <w:rPr>
                <w:b/>
                <w:bCs/>
                <w:color w:val="FDC300"/>
              </w:rPr>
              <w:instrText xml:space="preserve"> PAGE </w:instrText>
            </w:r>
            <w:r w:rsidRPr="00E71141">
              <w:rPr>
                <w:b/>
                <w:bCs/>
                <w:color w:val="FDC300"/>
                <w:sz w:val="24"/>
                <w:szCs w:val="24"/>
              </w:rPr>
              <w:fldChar w:fldCharType="separate"/>
            </w:r>
            <w:r w:rsidRPr="00E71141">
              <w:rPr>
                <w:b/>
                <w:bCs/>
                <w:noProof/>
                <w:color w:val="FDC300"/>
              </w:rPr>
              <w:t>2</w:t>
            </w:r>
            <w:r w:rsidRPr="00E71141">
              <w:rPr>
                <w:b/>
                <w:bCs/>
                <w:color w:val="FDC300"/>
                <w:sz w:val="24"/>
                <w:szCs w:val="24"/>
              </w:rPr>
              <w:fldChar w:fldCharType="end"/>
            </w:r>
            <w:r w:rsidRPr="00E71141">
              <w:rPr>
                <w:b/>
                <w:color w:val="003C72"/>
              </w:rPr>
              <w:t xml:space="preserve"> of </w:t>
            </w:r>
            <w:r w:rsidRPr="00E71141">
              <w:rPr>
                <w:b/>
                <w:bCs/>
                <w:color w:val="003C72"/>
                <w:sz w:val="24"/>
                <w:szCs w:val="24"/>
              </w:rPr>
              <w:fldChar w:fldCharType="begin"/>
            </w:r>
            <w:r w:rsidRPr="00E71141">
              <w:rPr>
                <w:b/>
                <w:bCs/>
                <w:color w:val="003C72"/>
              </w:rPr>
              <w:instrText xml:space="preserve"> NUMPAGES  </w:instrText>
            </w:r>
            <w:r w:rsidRPr="00E71141">
              <w:rPr>
                <w:b/>
                <w:bCs/>
                <w:color w:val="003C72"/>
                <w:sz w:val="24"/>
                <w:szCs w:val="24"/>
              </w:rPr>
              <w:fldChar w:fldCharType="separate"/>
            </w:r>
            <w:r w:rsidRPr="00E71141">
              <w:rPr>
                <w:b/>
                <w:bCs/>
                <w:noProof/>
                <w:color w:val="003C72"/>
              </w:rPr>
              <w:t>2</w:t>
            </w:r>
            <w:r w:rsidRPr="00E71141">
              <w:rPr>
                <w:b/>
                <w:bCs/>
                <w:color w:val="003C72"/>
                <w:sz w:val="24"/>
                <w:szCs w:val="24"/>
              </w:rPr>
              <w:fldChar w:fldCharType="end"/>
            </w:r>
          </w:p>
        </w:sdtContent>
      </w:sdt>
    </w:sdtContent>
  </w:sdt>
  <w:p w14:paraId="28C4D7D6" w14:textId="77777777" w:rsidR="00A85676" w:rsidRPr="00B47DC1" w:rsidRDefault="00A85676" w:rsidP="00B47D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B3B66" w14:textId="77777777" w:rsidR="00B47DC1" w:rsidRPr="00932106" w:rsidRDefault="00932106" w:rsidP="00B47DC1">
    <w:pPr>
      <w:pStyle w:val="Footer"/>
      <w:spacing w:after="100" w:afterAutospacing="1" w:line="240" w:lineRule="auto"/>
      <w:jc w:val="center"/>
      <w:rPr>
        <w:color w:val="0C236E"/>
        <w:sz w:val="18"/>
      </w:rPr>
    </w:pPr>
    <w:r>
      <w:rPr>
        <w:noProof/>
        <w:color w:val="0C236E"/>
        <w:sz w:val="18"/>
      </w:rPr>
      <mc:AlternateContent>
        <mc:Choice Requires="wps">
          <w:drawing>
            <wp:anchor distT="0" distB="0" distL="114300" distR="114300" simplePos="0" relativeHeight="251657216" behindDoc="1" locked="0" layoutInCell="1" allowOverlap="1" wp14:anchorId="3ABC1448" wp14:editId="5C62CFDE">
              <wp:simplePos x="0" y="0"/>
              <wp:positionH relativeFrom="column">
                <wp:posOffset>-742950</wp:posOffset>
              </wp:positionH>
              <wp:positionV relativeFrom="paragraph">
                <wp:posOffset>354965</wp:posOffset>
              </wp:positionV>
              <wp:extent cx="7264400" cy="177800"/>
              <wp:effectExtent l="0" t="0" r="0" b="0"/>
              <wp:wrapNone/>
              <wp:docPr id="264" name="Rectangle: Rounded Corners 264"/>
              <wp:cNvGraphicFramePr/>
              <a:graphic xmlns:a="http://schemas.openxmlformats.org/drawingml/2006/main">
                <a:graphicData uri="http://schemas.microsoft.com/office/word/2010/wordprocessingShape">
                  <wps:wsp>
                    <wps:cNvSpPr/>
                    <wps:spPr>
                      <a:xfrm>
                        <a:off x="0" y="0"/>
                        <a:ext cx="7264400" cy="177800"/>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1761CB9" id="Rectangle: Rounded Corners 264" o:spid="_x0000_s1026" style="position:absolute;margin-left:-58.5pt;margin-top:27.95pt;width:572pt;height: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" fillcolor="#003c72 [3204]" stroked="f" strokeweight="1pt">
              <v:stroke joinstyle="miter"/>
            </v:roundrect>
          </w:pict>
        </mc:Fallback>
      </mc:AlternateContent>
    </w:r>
  </w:p>
  <w:p w14:paraId="0F626D8F" w14:textId="77777777" w:rsidR="00B47DC1" w:rsidRPr="00932106" w:rsidRDefault="00932106" w:rsidP="00B47DC1">
    <w:pPr>
      <w:pStyle w:val="Footer"/>
      <w:spacing w:after="100" w:afterAutospacing="1"/>
      <w:jc w:val="center"/>
      <w:rPr>
        <w:color w:val="FFFFFF" w:themeColor="background1"/>
        <w:sz w:val="18"/>
        <w:lang w:val="fr-BE"/>
      </w:rPr>
    </w:pPr>
    <w:r w:rsidRPr="00932106">
      <w:rPr>
        <w:color w:val="FFFFFF" w:themeColor="background1"/>
        <w:sz w:val="18"/>
        <w:lang w:val="fr-BE"/>
      </w:rPr>
      <w:t xml:space="preserve">Rue Marie de Bourgogne, 58 – 1000 Brussels – Tel 0032 2 842 69 82 - </w:t>
    </w:r>
    <w:hyperlink r:id="rId1" w:history="1">
      <w:r w:rsidRPr="00932106">
        <w:rPr>
          <w:rStyle w:val="Hyperlink"/>
          <w:color w:val="FFFFFF" w:themeColor="background1"/>
          <w:sz w:val="18"/>
          <w:lang w:val="fr-BE"/>
        </w:rPr>
        <w:t>www.eucope.org</w:t>
      </w:r>
    </w:hyperlink>
    <w:r w:rsidR="00B47DC1" w:rsidRPr="00932106">
      <w:rPr>
        <w:color w:val="FFFFFF" w:themeColor="background1"/>
        <w:sz w:val="18"/>
        <w:lang w:val="fr-BE"/>
      </w:rPr>
      <w:t xml:space="preserve"> </w:t>
    </w:r>
  </w:p>
  <w:p w14:paraId="4E11AE96" w14:textId="77777777" w:rsidR="00B47DC1" w:rsidRPr="00932106" w:rsidRDefault="00B47DC1">
    <w:pPr>
      <w:pStyle w:val="Footer"/>
      <w:rPr>
        <w:lang w:val="fr-B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5EAD3E" w14:textId="77777777" w:rsidR="00F35543" w:rsidRDefault="00F35543" w:rsidP="00376205">
      <w:r>
        <w:separator/>
      </w:r>
    </w:p>
  </w:footnote>
  <w:footnote w:type="continuationSeparator" w:id="0">
    <w:p w14:paraId="614E1B57" w14:textId="77777777" w:rsidR="00F35543" w:rsidRDefault="00F35543" w:rsidP="00376205">
      <w:r>
        <w:continuationSeparator/>
      </w:r>
    </w:p>
  </w:footnote>
  <w:footnote w:type="continuationNotice" w:id="1">
    <w:p w14:paraId="03E369C6" w14:textId="77777777" w:rsidR="00F35543" w:rsidRDefault="00F35543">
      <w:pPr>
        <w:spacing w:before="0" w:after="0" w:line="240" w:lineRule="auto"/>
      </w:pPr>
    </w:p>
  </w:footnote>
  <w:footnote w:id="2">
    <w:p w14:paraId="169A4875" w14:textId="38D9EFFB" w:rsidR="006D7202" w:rsidRPr="006D7202" w:rsidRDefault="006D7202">
      <w:pPr>
        <w:pStyle w:val="FootnoteText"/>
        <w:rPr>
          <w:lang w:val="en-US"/>
        </w:rPr>
      </w:pPr>
      <w:r>
        <w:rPr>
          <w:rStyle w:val="FootnoteReference"/>
        </w:rPr>
        <w:footnoteRef/>
      </w:r>
      <w:r>
        <w:t xml:space="preserve"> </w:t>
      </w:r>
      <w:r w:rsidRPr="006D7202">
        <w:t>https://www.clinicalleader.com/doc/what-s-in-a-name-understanding-unmet-medical-need-may-help-align-prioritization-strategies-0001</w:t>
      </w:r>
    </w:p>
  </w:footnote>
  <w:footnote w:id="3">
    <w:p w14:paraId="6C231BC7" w14:textId="2A86C9B8" w:rsidR="0027248A" w:rsidRPr="00B41679" w:rsidRDefault="0027248A">
      <w:pPr>
        <w:pStyle w:val="FootnoteText"/>
        <w:rPr>
          <w:lang w:val="en-US"/>
        </w:rPr>
      </w:pPr>
      <w:r>
        <w:rPr>
          <w:rStyle w:val="FootnoteReference"/>
        </w:rPr>
        <w:footnoteRef/>
      </w:r>
      <w:r>
        <w:t xml:space="preserve"> </w:t>
      </w:r>
      <w:r w:rsidRPr="0027248A">
        <w:t>https://www.sciencedirect.com/science/article/abs/pii/S2352302620303732</w:t>
      </w:r>
    </w:p>
  </w:footnote>
  <w:footnote w:id="4">
    <w:p w14:paraId="1949640B" w14:textId="77777777" w:rsidR="00D05859" w:rsidRPr="005B3C31" w:rsidRDefault="00D05859" w:rsidP="00D05859">
      <w:pPr>
        <w:pStyle w:val="FootnoteText"/>
        <w:rPr>
          <w:lang w:val="en-US"/>
        </w:rPr>
      </w:pPr>
      <w:r>
        <w:rPr>
          <w:rStyle w:val="FootnoteReference"/>
        </w:rPr>
        <w:footnoteRef/>
      </w:r>
      <w:r>
        <w:t xml:space="preserve"> </w:t>
      </w:r>
      <w:hyperlink r:id="rId1" w:history="1">
        <w:r w:rsidRPr="00DD000C">
          <w:rPr>
            <w:rStyle w:val="Hyperlink"/>
            <w:rFonts w:eastAsia="Times New Roman"/>
            <w:lang w:val="en-US"/>
          </w:rPr>
          <w:t>https://www.onclive.com/view/innovation-fuels-survival-gains-in-multiple-myeloma</w:t>
        </w:r>
      </w:hyperlink>
    </w:p>
  </w:footnote>
  <w:footnote w:id="5">
    <w:p w14:paraId="7A8EC8A9" w14:textId="77777777" w:rsidR="0053089D" w:rsidRPr="007F6DE3" w:rsidRDefault="0053089D" w:rsidP="0053089D">
      <w:pPr>
        <w:pStyle w:val="FootnoteText"/>
        <w:rPr>
          <w:lang w:val="en-US"/>
        </w:rPr>
      </w:pPr>
      <w:r>
        <w:rPr>
          <w:rStyle w:val="FootnoteReference"/>
        </w:rPr>
        <w:footnoteRef/>
      </w:r>
      <w:r>
        <w:t xml:space="preserve"> </w:t>
      </w:r>
      <w:r w:rsidRPr="00586353">
        <w:t>http://phrma-docs.phrma.org/sites/default/files/pdf/rd_brochure_022307.pdf</w:t>
      </w:r>
    </w:p>
  </w:footnote>
  <w:footnote w:id="6">
    <w:p w14:paraId="52B4EF28" w14:textId="77777777" w:rsidR="0053089D" w:rsidRPr="00F93A62" w:rsidRDefault="0053089D" w:rsidP="0053089D">
      <w:pPr>
        <w:pStyle w:val="FootnoteText"/>
      </w:pPr>
      <w:r>
        <w:rPr>
          <w:rStyle w:val="FootnoteReference"/>
        </w:rPr>
        <w:footnoteRef/>
      </w:r>
      <w:r>
        <w:t xml:space="preserve"> </w:t>
      </w:r>
      <w:r w:rsidRPr="00F93A62">
        <w:t>https://www.mckinsey.com/industries/life-sciences/our-insights/fast-forward-will-the-speed-of-covid-19-vaccine-development-reset-industry-norms</w:t>
      </w:r>
    </w:p>
  </w:footnote>
  <w:footnote w:id="7">
    <w:p w14:paraId="170C086A" w14:textId="77777777" w:rsidR="0053089D" w:rsidRPr="00677D69" w:rsidRDefault="0053089D" w:rsidP="0053089D">
      <w:pPr>
        <w:pStyle w:val="FootnoteText"/>
        <w:rPr>
          <w:lang w:val="en-US"/>
        </w:rPr>
      </w:pPr>
      <w:r>
        <w:rPr>
          <w:rStyle w:val="FootnoteReference"/>
        </w:rPr>
        <w:footnoteRef/>
      </w:r>
      <w:r>
        <w:t xml:space="preserve"> </w:t>
      </w:r>
      <w:proofErr w:type="spellStart"/>
      <w:r w:rsidRPr="002505DD">
        <w:rPr>
          <w:lang w:val="en-US"/>
        </w:rPr>
        <w:t>Kalindjian</w:t>
      </w:r>
      <w:proofErr w:type="spellEnd"/>
      <w:r w:rsidRPr="002505DD">
        <w:rPr>
          <w:lang w:val="en-US"/>
        </w:rPr>
        <w:t xml:space="preserve"> et al. (2022)</w:t>
      </w:r>
      <w:r>
        <w:rPr>
          <w:lang w:val="en-US"/>
        </w:rPr>
        <w:t xml:space="preserve"> </w:t>
      </w:r>
      <w:r w:rsidRPr="002505DD">
        <w:rPr>
          <w:lang w:val="en-US"/>
        </w:rPr>
        <w:t xml:space="preserve">The financial ecosystem of pharmaceutical R&amp;D: an evidence base to inform further </w:t>
      </w:r>
      <w:proofErr w:type="gramStart"/>
      <w:r w:rsidRPr="002505DD">
        <w:rPr>
          <w:lang w:val="en-US"/>
        </w:rPr>
        <w:t>dialogue.</w:t>
      </w:r>
      <w:r>
        <w:rPr>
          <w:lang w:val="en-US"/>
        </w:rPr>
        <w:t>h</w:t>
      </w:r>
      <w:r w:rsidRPr="002505DD">
        <w:rPr>
          <w:lang w:val="en-US"/>
        </w:rPr>
        <w:t>ttps://www.rijksoverheid.nl/binaries/rijksoverheid/documenten/rapporten/2022/02/28/the-financial-ecosystem-of-pharmaceutical-rd/the-financial-ecosystem-of-pharmaceutical-rd.pdf</w:t>
      </w:r>
      <w:proofErr w:type="gramEnd"/>
      <w:r w:rsidRPr="002505DD">
        <w:rPr>
          <w:lang w:val="en-US"/>
        </w:rPr>
        <w:t>. Accessed 24 June 2022</w:t>
      </w:r>
    </w:p>
  </w:footnote>
  <w:footnote w:id="8">
    <w:p w14:paraId="59C75AFF" w14:textId="77777777" w:rsidR="00D05859" w:rsidRPr="00980933" w:rsidRDefault="00D05859" w:rsidP="00D05859">
      <w:pPr>
        <w:pStyle w:val="FootnoteText"/>
        <w:rPr>
          <w:lang w:val="en-US"/>
        </w:rPr>
      </w:pPr>
      <w:r>
        <w:rPr>
          <w:rStyle w:val="FootnoteReference"/>
        </w:rPr>
        <w:footnoteRef/>
      </w:r>
      <w:r>
        <w:t xml:space="preserve"> </w:t>
      </w:r>
      <w:r>
        <w:rPr>
          <w:lang w:val="en-US"/>
        </w:rPr>
        <w:t xml:space="preserve">EUCOPE Position Paper on RWE across the </w:t>
      </w:r>
      <w:proofErr w:type="gramStart"/>
      <w:r>
        <w:rPr>
          <w:lang w:val="en-US"/>
        </w:rPr>
        <w:t>Life-Cycle</w:t>
      </w:r>
      <w:proofErr w:type="gramEnd"/>
      <w:r>
        <w:rPr>
          <w:lang w:val="en-US"/>
        </w:rPr>
        <w:t xml:space="preserve"> of Cell and Gene Therapies – include when finished</w:t>
      </w:r>
    </w:p>
  </w:footnote>
  <w:footnote w:id="9">
    <w:p w14:paraId="4FFADF2C" w14:textId="77777777" w:rsidR="00D05859" w:rsidRPr="001E36E0" w:rsidRDefault="00D05859" w:rsidP="00D05859">
      <w:pPr>
        <w:pStyle w:val="FootnoteText"/>
        <w:rPr>
          <w:lang w:val="en-US"/>
        </w:rPr>
      </w:pPr>
      <w:r>
        <w:rPr>
          <w:rStyle w:val="FootnoteReference"/>
        </w:rPr>
        <w:footnoteRef/>
      </w:r>
      <w:r>
        <w:t xml:space="preserve"> </w:t>
      </w:r>
      <w:r w:rsidRPr="0042530E">
        <w:rPr>
          <w:lang w:val="en-US"/>
        </w:rPr>
        <w:t>https://www.mckinsey.com/industries/life-sciences/our-insights/fast-forward-will-the-speed-of-covid-19-vaccine-development-reset-industry-norms</w:t>
      </w:r>
    </w:p>
  </w:footnote>
  <w:footnote w:id="10">
    <w:p w14:paraId="66508275" w14:textId="77777777" w:rsidR="00D05859" w:rsidRPr="00BA237B" w:rsidRDefault="00D05859" w:rsidP="00D05859">
      <w:pPr>
        <w:pStyle w:val="FootnoteText"/>
        <w:rPr>
          <w:lang w:val="en-US"/>
        </w:rPr>
      </w:pPr>
      <w:r>
        <w:rPr>
          <w:rStyle w:val="FootnoteReference"/>
        </w:rPr>
        <w:footnoteRef/>
      </w:r>
      <w:r>
        <w:t xml:space="preserve"> </w:t>
      </w:r>
      <w:r w:rsidRPr="001C3E32">
        <w:t>https://www.gavi.org/vaccineswork/why-world-set-getting-next-pandemic-vaccine-out-just-100-days</w:t>
      </w:r>
    </w:p>
  </w:footnote>
  <w:footnote w:id="11">
    <w:p w14:paraId="191A3776" w14:textId="77777777" w:rsidR="00632814" w:rsidRPr="00F302E6" w:rsidRDefault="00632814" w:rsidP="00632814">
      <w:pPr>
        <w:pStyle w:val="FootnoteText"/>
        <w:rPr>
          <w:lang w:val="en-US"/>
        </w:rPr>
      </w:pPr>
      <w:r>
        <w:rPr>
          <w:rStyle w:val="FootnoteReference"/>
        </w:rPr>
        <w:footnoteRef/>
      </w:r>
      <w:r>
        <w:t xml:space="preserve"> </w:t>
      </w:r>
      <w:r w:rsidRPr="00F302E6">
        <w:t>https://od-expertgroup.eu/wp-content/uploads/2021/06/european-expert-group-on-orphan-drug-incentives-report.pdf</w:t>
      </w:r>
    </w:p>
  </w:footnote>
  <w:footnote w:id="12">
    <w:p w14:paraId="26625DAD" w14:textId="0023400E" w:rsidR="00DB2148" w:rsidRDefault="00DB2148">
      <w:pPr>
        <w:pStyle w:val="FootnoteText"/>
      </w:pPr>
      <w:r>
        <w:rPr>
          <w:rStyle w:val="FootnoteReference"/>
        </w:rPr>
        <w:footnoteRef/>
      </w:r>
      <w:r>
        <w:t xml:space="preserve"> </w:t>
      </w:r>
      <w:r w:rsidRPr="00DB2148">
        <w:t>https://www.nature.com/articles/d41586-020-02106-w</w:t>
      </w:r>
    </w:p>
  </w:footnote>
  <w:footnote w:id="13">
    <w:p w14:paraId="46D01DE7" w14:textId="77777777" w:rsidR="00BD4C34" w:rsidRPr="00D501AE" w:rsidRDefault="00BD4C34" w:rsidP="00BD4C34">
      <w:pPr>
        <w:pStyle w:val="FootnoteText"/>
        <w:rPr>
          <w:lang w:val="en-US"/>
        </w:rPr>
      </w:pPr>
      <w:r>
        <w:rPr>
          <w:rStyle w:val="FootnoteReference"/>
        </w:rPr>
        <w:footnoteRef/>
      </w:r>
      <w:r>
        <w:t xml:space="preserve"> </w:t>
      </w:r>
      <w:r w:rsidRPr="00D501AE">
        <w:t>https://www.ema.europa.eu/en/human-regulatory/research-development/prime-priority-medicines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4B234" w14:textId="77777777" w:rsidR="00932106" w:rsidRDefault="00932106" w:rsidP="00932106">
    <w:pPr>
      <w:pStyle w:val="Header"/>
      <w:tabs>
        <w:tab w:val="left" w:pos="7560"/>
      </w:tabs>
    </w:pPr>
    <w:r>
      <w:rPr>
        <w:noProof/>
      </w:rPr>
      <mc:AlternateContent>
        <mc:Choice Requires="wps">
          <w:drawing>
            <wp:anchor distT="0" distB="0" distL="114300" distR="114300" simplePos="0" relativeHeight="251658240" behindDoc="0" locked="0" layoutInCell="1" allowOverlap="1" wp14:anchorId="70E887B0" wp14:editId="23AA7063">
              <wp:simplePos x="0" y="0"/>
              <wp:positionH relativeFrom="column">
                <wp:posOffset>841375</wp:posOffset>
              </wp:positionH>
              <wp:positionV relativeFrom="paragraph">
                <wp:posOffset>-3235325</wp:posOffset>
              </wp:positionV>
              <wp:extent cx="2178050" cy="6096000"/>
              <wp:effectExtent l="3175" t="0" r="0" b="0"/>
              <wp:wrapNone/>
              <wp:docPr id="267" name="Right Triangle 267"/>
              <wp:cNvGraphicFramePr/>
              <a:graphic xmlns:a="http://schemas.openxmlformats.org/drawingml/2006/main">
                <a:graphicData uri="http://schemas.microsoft.com/office/word/2010/wordprocessingShape">
                  <wps:wsp>
                    <wps:cNvSpPr/>
                    <wps:spPr>
                      <a:xfrm rot="5400000">
                        <a:off x="0" y="0"/>
                        <a:ext cx="2178050" cy="6096000"/>
                      </a:xfrm>
                      <a:prstGeom prst="rtTriangle">
                        <a:avLst/>
                      </a:prstGeom>
                      <a:solidFill>
                        <a:srgbClr val="FFC30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E6AA45" id="_x0000_t6" coordsize="21600,21600" o:spt="6" path="m,l,21600r21600,xe">
              <v:stroke joinstyle="miter"/>
              <v:path gradientshapeok="t" o:connecttype="custom" o:connectlocs="0,0;0,10800;0,21600;10800,21600;21600,21600;10800,10800" textboxrect="1800,12600,12600,19800"/>
            </v:shapetype>
            <v:shape id="Right Triangle 267" o:spid="_x0000_s1026" type="#_x0000_t6" style="position:absolute;margin-left:66.25pt;margin-top:-254.75pt;width:171.5pt;height:480pt;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" fillcolor="#ffc305" stroked="f" strokeweight="1pt"/>
          </w:pict>
        </mc:Fallback>
      </mc:AlternateContent>
    </w:r>
    <w:r>
      <w:rPr>
        <w:noProof/>
      </w:rPr>
      <w:drawing>
        <wp:anchor distT="0" distB="0" distL="114300" distR="114300" simplePos="0" relativeHeight="251659264" behindDoc="1" locked="0" layoutInCell="1" allowOverlap="1" wp14:anchorId="5CA64CC5" wp14:editId="72DC145B">
          <wp:simplePos x="0" y="0"/>
          <wp:positionH relativeFrom="column">
            <wp:posOffset>-565150</wp:posOffset>
          </wp:positionH>
          <wp:positionV relativeFrom="paragraph">
            <wp:posOffset>63500</wp:posOffset>
          </wp:positionV>
          <wp:extent cx="2990850" cy="908134"/>
          <wp:effectExtent l="0" t="0" r="0" b="6350"/>
          <wp:wrapTight wrapText="bothSides">
            <wp:wrapPolygon edited="0">
              <wp:start x="0" y="0"/>
              <wp:lineTo x="0" y="13594"/>
              <wp:lineTo x="6604" y="15407"/>
              <wp:lineTo x="6604" y="21298"/>
              <wp:lineTo x="21462" y="21298"/>
              <wp:lineTo x="21462" y="15407"/>
              <wp:lineTo x="19399" y="13141"/>
              <wp:lineTo x="19399" y="1359"/>
              <wp:lineTo x="18436" y="906"/>
              <wp:lineTo x="1031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3" name="Eucope-LOGO-RZ_4c.png"/>
                  <pic:cNvPicPr/>
                </pic:nvPicPr>
                <pic:blipFill>
                  <a:blip r:embed="rId1">
                    <a:extLst>
                      <a:ext uri="{28A0092B-C50C-407E-A947-70E740481C1C}">
                        <a14:useLocalDpi xmlns:a14="http://schemas.microsoft.com/office/drawing/2010/main" val="0"/>
                      </a:ext>
                    </a:extLst>
                  </a:blip>
                  <a:stretch>
                    <a:fillRect/>
                  </a:stretch>
                </pic:blipFill>
                <pic:spPr>
                  <a:xfrm>
                    <a:off x="0" y="0"/>
                    <a:ext cx="2990850" cy="908134"/>
                  </a:xfrm>
                  <a:prstGeom prst="rect">
                    <a:avLst/>
                  </a:prstGeom>
                </pic:spPr>
              </pic:pic>
            </a:graphicData>
          </a:graphic>
        </wp:anchor>
      </w:drawing>
    </w:r>
    <w:r>
      <w:rPr>
        <w:noProof/>
      </w:rPr>
      <w:t xml:space="preserve"> </w:t>
    </w:r>
  </w:p>
  <w:p w14:paraId="090569A2" w14:textId="77777777" w:rsidR="00932106" w:rsidRDefault="00932106" w:rsidP="00932106">
    <w:pPr>
      <w:pStyle w:val="Header"/>
    </w:pPr>
  </w:p>
  <w:p w14:paraId="2FB21F2E" w14:textId="77777777" w:rsidR="00F670DA" w:rsidRDefault="00F670DA" w:rsidP="00407D91">
    <w:pPr>
      <w:pStyle w:val="Header"/>
      <w:tabs>
        <w:tab w:val="left" w:pos="7560"/>
      </w:tabs>
    </w:pPr>
    <w:r>
      <w:rPr>
        <w:noProof/>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5DFB2" w14:textId="6C89295F" w:rsidR="00B47DC1" w:rsidRPr="00E71141" w:rsidRDefault="00000000" w:rsidP="00E71141">
    <w:pPr>
      <w:pStyle w:val="Header"/>
      <w:tabs>
        <w:tab w:val="left" w:pos="7560"/>
      </w:tabs>
      <w:jc w:val="right"/>
      <w:rPr>
        <w:b/>
      </w:rPr>
    </w:pPr>
    <w:sdt>
      <w:sdtPr>
        <w:rPr>
          <w:b/>
          <w:noProof/>
        </w:rPr>
        <w:id w:val="-1658679203"/>
        <w:docPartObj>
          <w:docPartGallery w:val="Watermarks"/>
          <w:docPartUnique/>
        </w:docPartObj>
      </w:sdtPr>
      <w:sdtContent>
        <w:r>
          <w:rPr>
            <w:b/>
            <w:noProof/>
          </w:rPr>
          <w:pict w14:anchorId="753C19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476642" o:spid="_x0000_s1025" type="#_x0000_t136" style="position:absolute;left:0;text-align:left;margin-left:0;margin-top:0;width:527.85pt;height:131.95pt;rotation:315;z-index:-251656192;mso-position-horizontal:center;mso-position-horizontal-relative:margin;mso-position-vertical:center;mso-position-vertical-relative:margin" o:allowincell="f" fillcolor="silver" stroked="f">
              <v:fill opacity=".5"/>
              <v:textpath style="font-family:&quot;Calibri&quot;;font-size:1pt" string="CONFIDENTIAL"/>
              <w10:wrap anchorx="margin" anchory="margin"/>
            </v:shape>
          </w:pict>
        </w:r>
      </w:sdtContent>
    </w:sdt>
    <w:r w:rsidR="00FC22F7" w:rsidRPr="00E71141">
      <w:rPr>
        <w:b/>
        <w:noProof/>
      </w:rPr>
      <w:drawing>
        <wp:anchor distT="0" distB="0" distL="114300" distR="114300" simplePos="0" relativeHeight="251656192" behindDoc="1" locked="0" layoutInCell="1" allowOverlap="1" wp14:anchorId="0005CB64" wp14:editId="79587731">
          <wp:simplePos x="0" y="0"/>
          <wp:positionH relativeFrom="column">
            <wp:posOffset>-565150</wp:posOffset>
          </wp:positionH>
          <wp:positionV relativeFrom="paragraph">
            <wp:posOffset>-6350</wp:posOffset>
          </wp:positionV>
          <wp:extent cx="2990850" cy="908134"/>
          <wp:effectExtent l="0" t="0" r="0" b="6350"/>
          <wp:wrapTight wrapText="bothSides">
            <wp:wrapPolygon edited="0">
              <wp:start x="0" y="0"/>
              <wp:lineTo x="0" y="13594"/>
              <wp:lineTo x="6604" y="15407"/>
              <wp:lineTo x="6604" y="21298"/>
              <wp:lineTo x="21462" y="21298"/>
              <wp:lineTo x="21462" y="15407"/>
              <wp:lineTo x="19399" y="13141"/>
              <wp:lineTo x="19399" y="1359"/>
              <wp:lineTo x="18436" y="906"/>
              <wp:lineTo x="10318"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3" name="Eucope-LOGO-RZ_4c.png"/>
                  <pic:cNvPicPr/>
                </pic:nvPicPr>
                <pic:blipFill>
                  <a:blip r:embed="rId1">
                    <a:extLst>
                      <a:ext uri="{28A0092B-C50C-407E-A947-70E740481C1C}">
                        <a14:useLocalDpi xmlns:a14="http://schemas.microsoft.com/office/drawing/2010/main" val="0"/>
                      </a:ext>
                    </a:extLst>
                  </a:blip>
                  <a:stretch>
                    <a:fillRect/>
                  </a:stretch>
                </pic:blipFill>
                <pic:spPr>
                  <a:xfrm>
                    <a:off x="0" y="0"/>
                    <a:ext cx="2990850" cy="908134"/>
                  </a:xfrm>
                  <a:prstGeom prst="rect">
                    <a:avLst/>
                  </a:prstGeom>
                </pic:spPr>
              </pic:pic>
            </a:graphicData>
          </a:graphic>
        </wp:anchor>
      </w:drawing>
    </w:r>
    <w:r w:rsidR="00E71141" w:rsidRPr="00E71141">
      <w:rPr>
        <w:b/>
        <w:noProof/>
      </w:rPr>
      <w:fldChar w:fldCharType="begin"/>
    </w:r>
    <w:r w:rsidR="00E71141" w:rsidRPr="00E71141">
      <w:rPr>
        <w:b/>
        <w:noProof/>
      </w:rPr>
      <w:instrText xml:space="preserve"> DATE \@ "dd MMMM yyyy" </w:instrText>
    </w:r>
    <w:r w:rsidR="00E71141" w:rsidRPr="00E71141">
      <w:rPr>
        <w:b/>
        <w:noProof/>
      </w:rPr>
      <w:fldChar w:fldCharType="separate"/>
    </w:r>
    <w:r w:rsidR="00B21DE6">
      <w:rPr>
        <w:b/>
        <w:noProof/>
      </w:rPr>
      <w:t>07 November 2022</w:t>
    </w:r>
    <w:r w:rsidR="00E71141" w:rsidRPr="00E71141">
      <w:rPr>
        <w:b/>
        <w:noProof/>
      </w:rPr>
      <w:fldChar w:fldCharType="end"/>
    </w:r>
    <w:r w:rsidR="00932106" w:rsidRPr="00E71141">
      <w:rPr>
        <w:b/>
        <w:noProof/>
      </w:rPr>
      <mc:AlternateContent>
        <mc:Choice Requires="wps">
          <w:drawing>
            <wp:anchor distT="0" distB="0" distL="114300" distR="114300" simplePos="0" relativeHeight="251655168" behindDoc="0" locked="0" layoutInCell="1" allowOverlap="1" wp14:anchorId="51E19806" wp14:editId="5692044E">
              <wp:simplePos x="0" y="0"/>
              <wp:positionH relativeFrom="column">
                <wp:posOffset>841375</wp:posOffset>
              </wp:positionH>
              <wp:positionV relativeFrom="paragraph">
                <wp:posOffset>-3235325</wp:posOffset>
              </wp:positionV>
              <wp:extent cx="2178050" cy="6096000"/>
              <wp:effectExtent l="3175" t="0" r="0" b="0"/>
              <wp:wrapNone/>
              <wp:docPr id="262" name="Right Triangle 262"/>
              <wp:cNvGraphicFramePr/>
              <a:graphic xmlns:a="http://schemas.openxmlformats.org/drawingml/2006/main">
                <a:graphicData uri="http://schemas.microsoft.com/office/word/2010/wordprocessingShape">
                  <wps:wsp>
                    <wps:cNvSpPr/>
                    <wps:spPr>
                      <a:xfrm rot="5400000">
                        <a:off x="0" y="0"/>
                        <a:ext cx="2178050" cy="6096000"/>
                      </a:xfrm>
                      <a:prstGeom prst="rtTriangle">
                        <a:avLst/>
                      </a:prstGeom>
                      <a:solidFill>
                        <a:srgbClr val="FFC30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2952CE" id="_x0000_t6" coordsize="21600,21600" o:spt="6" path="m,l,21600r21600,xe">
              <v:stroke joinstyle="miter"/>
              <v:path gradientshapeok="t" o:connecttype="custom" o:connectlocs="0,0;0,10800;0,21600;10800,21600;21600,21600;10800,10800" textboxrect="1800,12600,12600,19800"/>
            </v:shapetype>
            <v:shape id="Right Triangle 262" o:spid="_x0000_s1026" type="#_x0000_t6" style="position:absolute;margin-left:66.25pt;margin-top:-254.75pt;width:171.5pt;height:480pt;rotation:9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" fillcolor="#ffc305" stroked="f" strokeweight="1pt"/>
          </w:pict>
        </mc:Fallback>
      </mc:AlternateContent>
    </w:r>
    <w:r w:rsidR="00B47DC1" w:rsidRPr="00E71141">
      <w:rPr>
        <w:b/>
        <w:noProof/>
      </w:rPr>
      <w:t xml:space="preserve"> </w:t>
    </w:r>
  </w:p>
  <w:p w14:paraId="2AB3AAEC" w14:textId="77777777" w:rsidR="00B47DC1" w:rsidRDefault="00B47D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80847"/>
    <w:multiLevelType w:val="hybridMultilevel"/>
    <w:tmpl w:val="A8A8AD0A"/>
    <w:lvl w:ilvl="0" w:tplc="0046F1D6">
      <w:start w:val="1"/>
      <w:numFmt w:val="bullet"/>
      <w:pStyle w:val="ListParagraph"/>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 w15:restartNumberingAfterBreak="0">
    <w:nsid w:val="095A0001"/>
    <w:multiLevelType w:val="hybridMultilevel"/>
    <w:tmpl w:val="C5ACE5D6"/>
    <w:lvl w:ilvl="0" w:tplc="C672BC2C">
      <w:start w:val="1"/>
      <w:numFmt w:val="bullet"/>
      <w:lvlText w:val="•"/>
      <w:lvlJc w:val="left"/>
      <w:pPr>
        <w:tabs>
          <w:tab w:val="num" w:pos="720"/>
        </w:tabs>
        <w:ind w:left="720" w:hanging="360"/>
      </w:pPr>
      <w:rPr>
        <w:rFonts w:ascii="Arial" w:hAnsi="Arial" w:hint="default"/>
      </w:rPr>
    </w:lvl>
    <w:lvl w:ilvl="1" w:tplc="65DC2132" w:tentative="1">
      <w:start w:val="1"/>
      <w:numFmt w:val="bullet"/>
      <w:lvlText w:val="•"/>
      <w:lvlJc w:val="left"/>
      <w:pPr>
        <w:tabs>
          <w:tab w:val="num" w:pos="1440"/>
        </w:tabs>
        <w:ind w:left="1440" w:hanging="360"/>
      </w:pPr>
      <w:rPr>
        <w:rFonts w:ascii="Arial" w:hAnsi="Arial" w:hint="default"/>
      </w:rPr>
    </w:lvl>
    <w:lvl w:ilvl="2" w:tplc="F0382B98" w:tentative="1">
      <w:start w:val="1"/>
      <w:numFmt w:val="bullet"/>
      <w:lvlText w:val="•"/>
      <w:lvlJc w:val="left"/>
      <w:pPr>
        <w:tabs>
          <w:tab w:val="num" w:pos="2160"/>
        </w:tabs>
        <w:ind w:left="2160" w:hanging="360"/>
      </w:pPr>
      <w:rPr>
        <w:rFonts w:ascii="Arial" w:hAnsi="Arial" w:hint="default"/>
      </w:rPr>
    </w:lvl>
    <w:lvl w:ilvl="3" w:tplc="AE20A7CA" w:tentative="1">
      <w:start w:val="1"/>
      <w:numFmt w:val="bullet"/>
      <w:lvlText w:val="•"/>
      <w:lvlJc w:val="left"/>
      <w:pPr>
        <w:tabs>
          <w:tab w:val="num" w:pos="2880"/>
        </w:tabs>
        <w:ind w:left="2880" w:hanging="360"/>
      </w:pPr>
      <w:rPr>
        <w:rFonts w:ascii="Arial" w:hAnsi="Arial" w:hint="default"/>
      </w:rPr>
    </w:lvl>
    <w:lvl w:ilvl="4" w:tplc="76ECD1D8" w:tentative="1">
      <w:start w:val="1"/>
      <w:numFmt w:val="bullet"/>
      <w:lvlText w:val="•"/>
      <w:lvlJc w:val="left"/>
      <w:pPr>
        <w:tabs>
          <w:tab w:val="num" w:pos="3600"/>
        </w:tabs>
        <w:ind w:left="3600" w:hanging="360"/>
      </w:pPr>
      <w:rPr>
        <w:rFonts w:ascii="Arial" w:hAnsi="Arial" w:hint="default"/>
      </w:rPr>
    </w:lvl>
    <w:lvl w:ilvl="5" w:tplc="C32E5220" w:tentative="1">
      <w:start w:val="1"/>
      <w:numFmt w:val="bullet"/>
      <w:lvlText w:val="•"/>
      <w:lvlJc w:val="left"/>
      <w:pPr>
        <w:tabs>
          <w:tab w:val="num" w:pos="4320"/>
        </w:tabs>
        <w:ind w:left="4320" w:hanging="360"/>
      </w:pPr>
      <w:rPr>
        <w:rFonts w:ascii="Arial" w:hAnsi="Arial" w:hint="default"/>
      </w:rPr>
    </w:lvl>
    <w:lvl w:ilvl="6" w:tplc="F4F61698" w:tentative="1">
      <w:start w:val="1"/>
      <w:numFmt w:val="bullet"/>
      <w:lvlText w:val="•"/>
      <w:lvlJc w:val="left"/>
      <w:pPr>
        <w:tabs>
          <w:tab w:val="num" w:pos="5040"/>
        </w:tabs>
        <w:ind w:left="5040" w:hanging="360"/>
      </w:pPr>
      <w:rPr>
        <w:rFonts w:ascii="Arial" w:hAnsi="Arial" w:hint="default"/>
      </w:rPr>
    </w:lvl>
    <w:lvl w:ilvl="7" w:tplc="1B84F6D4" w:tentative="1">
      <w:start w:val="1"/>
      <w:numFmt w:val="bullet"/>
      <w:lvlText w:val="•"/>
      <w:lvlJc w:val="left"/>
      <w:pPr>
        <w:tabs>
          <w:tab w:val="num" w:pos="5760"/>
        </w:tabs>
        <w:ind w:left="5760" w:hanging="360"/>
      </w:pPr>
      <w:rPr>
        <w:rFonts w:ascii="Arial" w:hAnsi="Arial" w:hint="default"/>
      </w:rPr>
    </w:lvl>
    <w:lvl w:ilvl="8" w:tplc="C066B39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E102662"/>
    <w:multiLevelType w:val="hybridMultilevel"/>
    <w:tmpl w:val="DF541398"/>
    <w:lvl w:ilvl="0" w:tplc="ED56B0F2">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3" w15:restartNumberingAfterBreak="0">
    <w:nsid w:val="11CC6648"/>
    <w:multiLevelType w:val="hybridMultilevel"/>
    <w:tmpl w:val="B88A192C"/>
    <w:lvl w:ilvl="0" w:tplc="1000000F">
      <w:start w:val="1"/>
      <w:numFmt w:val="decimal"/>
      <w:lvlText w:val="%1."/>
      <w:lvlJc w:val="left"/>
      <w:pPr>
        <w:ind w:left="1080" w:hanging="360"/>
      </w:pPr>
    </w:lvl>
    <w:lvl w:ilvl="1" w:tplc="10000019" w:tentative="1">
      <w:start w:val="1"/>
      <w:numFmt w:val="lowerLetter"/>
      <w:lvlText w:val="%2."/>
      <w:lvlJc w:val="left"/>
      <w:pPr>
        <w:ind w:left="1800" w:hanging="360"/>
      </w:pPr>
    </w:lvl>
    <w:lvl w:ilvl="2" w:tplc="1000001B" w:tentative="1">
      <w:start w:val="1"/>
      <w:numFmt w:val="lowerRoman"/>
      <w:lvlText w:val="%3."/>
      <w:lvlJc w:val="right"/>
      <w:pPr>
        <w:ind w:left="2520" w:hanging="180"/>
      </w:pPr>
    </w:lvl>
    <w:lvl w:ilvl="3" w:tplc="1000000F" w:tentative="1">
      <w:start w:val="1"/>
      <w:numFmt w:val="decimal"/>
      <w:lvlText w:val="%4."/>
      <w:lvlJc w:val="left"/>
      <w:pPr>
        <w:ind w:left="3240" w:hanging="360"/>
      </w:pPr>
    </w:lvl>
    <w:lvl w:ilvl="4" w:tplc="10000019" w:tentative="1">
      <w:start w:val="1"/>
      <w:numFmt w:val="lowerLetter"/>
      <w:lvlText w:val="%5."/>
      <w:lvlJc w:val="left"/>
      <w:pPr>
        <w:ind w:left="3960" w:hanging="360"/>
      </w:pPr>
    </w:lvl>
    <w:lvl w:ilvl="5" w:tplc="1000001B" w:tentative="1">
      <w:start w:val="1"/>
      <w:numFmt w:val="lowerRoman"/>
      <w:lvlText w:val="%6."/>
      <w:lvlJc w:val="right"/>
      <w:pPr>
        <w:ind w:left="4680" w:hanging="180"/>
      </w:pPr>
    </w:lvl>
    <w:lvl w:ilvl="6" w:tplc="1000000F" w:tentative="1">
      <w:start w:val="1"/>
      <w:numFmt w:val="decimal"/>
      <w:lvlText w:val="%7."/>
      <w:lvlJc w:val="left"/>
      <w:pPr>
        <w:ind w:left="5400" w:hanging="360"/>
      </w:pPr>
    </w:lvl>
    <w:lvl w:ilvl="7" w:tplc="10000019" w:tentative="1">
      <w:start w:val="1"/>
      <w:numFmt w:val="lowerLetter"/>
      <w:lvlText w:val="%8."/>
      <w:lvlJc w:val="left"/>
      <w:pPr>
        <w:ind w:left="6120" w:hanging="360"/>
      </w:pPr>
    </w:lvl>
    <w:lvl w:ilvl="8" w:tplc="1000001B" w:tentative="1">
      <w:start w:val="1"/>
      <w:numFmt w:val="lowerRoman"/>
      <w:lvlText w:val="%9."/>
      <w:lvlJc w:val="right"/>
      <w:pPr>
        <w:ind w:left="6840" w:hanging="180"/>
      </w:pPr>
    </w:lvl>
  </w:abstractNum>
  <w:abstractNum w:abstractNumId="4" w15:restartNumberingAfterBreak="0">
    <w:nsid w:val="167D69AF"/>
    <w:multiLevelType w:val="hybridMultilevel"/>
    <w:tmpl w:val="4D58AA2C"/>
    <w:lvl w:ilvl="0" w:tplc="02221636">
      <w:start w:val="1"/>
      <w:numFmt w:val="bullet"/>
      <w:lvlText w:val="•"/>
      <w:lvlJc w:val="left"/>
      <w:pPr>
        <w:tabs>
          <w:tab w:val="num" w:pos="720"/>
        </w:tabs>
        <w:ind w:left="720" w:hanging="360"/>
      </w:pPr>
      <w:rPr>
        <w:rFonts w:ascii="Arial" w:hAnsi="Arial" w:hint="default"/>
      </w:rPr>
    </w:lvl>
    <w:lvl w:ilvl="1" w:tplc="A12C8624" w:tentative="1">
      <w:start w:val="1"/>
      <w:numFmt w:val="bullet"/>
      <w:lvlText w:val="•"/>
      <w:lvlJc w:val="left"/>
      <w:pPr>
        <w:tabs>
          <w:tab w:val="num" w:pos="1440"/>
        </w:tabs>
        <w:ind w:left="1440" w:hanging="360"/>
      </w:pPr>
      <w:rPr>
        <w:rFonts w:ascii="Arial" w:hAnsi="Arial" w:hint="default"/>
      </w:rPr>
    </w:lvl>
    <w:lvl w:ilvl="2" w:tplc="98021DDC" w:tentative="1">
      <w:start w:val="1"/>
      <w:numFmt w:val="bullet"/>
      <w:lvlText w:val="•"/>
      <w:lvlJc w:val="left"/>
      <w:pPr>
        <w:tabs>
          <w:tab w:val="num" w:pos="2160"/>
        </w:tabs>
        <w:ind w:left="2160" w:hanging="360"/>
      </w:pPr>
      <w:rPr>
        <w:rFonts w:ascii="Arial" w:hAnsi="Arial" w:hint="default"/>
      </w:rPr>
    </w:lvl>
    <w:lvl w:ilvl="3" w:tplc="013CA24A" w:tentative="1">
      <w:start w:val="1"/>
      <w:numFmt w:val="bullet"/>
      <w:lvlText w:val="•"/>
      <w:lvlJc w:val="left"/>
      <w:pPr>
        <w:tabs>
          <w:tab w:val="num" w:pos="2880"/>
        </w:tabs>
        <w:ind w:left="2880" w:hanging="360"/>
      </w:pPr>
      <w:rPr>
        <w:rFonts w:ascii="Arial" w:hAnsi="Arial" w:hint="default"/>
      </w:rPr>
    </w:lvl>
    <w:lvl w:ilvl="4" w:tplc="A308139A" w:tentative="1">
      <w:start w:val="1"/>
      <w:numFmt w:val="bullet"/>
      <w:lvlText w:val="•"/>
      <w:lvlJc w:val="left"/>
      <w:pPr>
        <w:tabs>
          <w:tab w:val="num" w:pos="3600"/>
        </w:tabs>
        <w:ind w:left="3600" w:hanging="360"/>
      </w:pPr>
      <w:rPr>
        <w:rFonts w:ascii="Arial" w:hAnsi="Arial" w:hint="default"/>
      </w:rPr>
    </w:lvl>
    <w:lvl w:ilvl="5" w:tplc="37147F08" w:tentative="1">
      <w:start w:val="1"/>
      <w:numFmt w:val="bullet"/>
      <w:lvlText w:val="•"/>
      <w:lvlJc w:val="left"/>
      <w:pPr>
        <w:tabs>
          <w:tab w:val="num" w:pos="4320"/>
        </w:tabs>
        <w:ind w:left="4320" w:hanging="360"/>
      </w:pPr>
      <w:rPr>
        <w:rFonts w:ascii="Arial" w:hAnsi="Arial" w:hint="default"/>
      </w:rPr>
    </w:lvl>
    <w:lvl w:ilvl="6" w:tplc="CF1E42A0" w:tentative="1">
      <w:start w:val="1"/>
      <w:numFmt w:val="bullet"/>
      <w:lvlText w:val="•"/>
      <w:lvlJc w:val="left"/>
      <w:pPr>
        <w:tabs>
          <w:tab w:val="num" w:pos="5040"/>
        </w:tabs>
        <w:ind w:left="5040" w:hanging="360"/>
      </w:pPr>
      <w:rPr>
        <w:rFonts w:ascii="Arial" w:hAnsi="Arial" w:hint="default"/>
      </w:rPr>
    </w:lvl>
    <w:lvl w:ilvl="7" w:tplc="5274B1CE" w:tentative="1">
      <w:start w:val="1"/>
      <w:numFmt w:val="bullet"/>
      <w:lvlText w:val="•"/>
      <w:lvlJc w:val="left"/>
      <w:pPr>
        <w:tabs>
          <w:tab w:val="num" w:pos="5760"/>
        </w:tabs>
        <w:ind w:left="5760" w:hanging="360"/>
      </w:pPr>
      <w:rPr>
        <w:rFonts w:ascii="Arial" w:hAnsi="Arial" w:hint="default"/>
      </w:rPr>
    </w:lvl>
    <w:lvl w:ilvl="8" w:tplc="E248A57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16716FF"/>
    <w:multiLevelType w:val="hybridMultilevel"/>
    <w:tmpl w:val="00E8160A"/>
    <w:lvl w:ilvl="0" w:tplc="2000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22B8AE98"/>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30240ECC"/>
    <w:multiLevelType w:val="hybridMultilevel"/>
    <w:tmpl w:val="FA4A7E9C"/>
    <w:lvl w:ilvl="0" w:tplc="B752529E">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8" w15:restartNumberingAfterBreak="0">
    <w:nsid w:val="31C45DDD"/>
    <w:multiLevelType w:val="hybridMultilevel"/>
    <w:tmpl w:val="7D36F72E"/>
    <w:lvl w:ilvl="0" w:tplc="41ACD30C">
      <w:start w:val="1"/>
      <w:numFmt w:val="bullet"/>
      <w:lvlText w:val="•"/>
      <w:lvlJc w:val="left"/>
      <w:pPr>
        <w:tabs>
          <w:tab w:val="num" w:pos="720"/>
        </w:tabs>
        <w:ind w:left="720" w:hanging="360"/>
      </w:pPr>
      <w:rPr>
        <w:rFonts w:ascii="Arial" w:hAnsi="Arial" w:hint="default"/>
      </w:rPr>
    </w:lvl>
    <w:lvl w:ilvl="1" w:tplc="2480AA6C" w:tentative="1">
      <w:start w:val="1"/>
      <w:numFmt w:val="bullet"/>
      <w:lvlText w:val="•"/>
      <w:lvlJc w:val="left"/>
      <w:pPr>
        <w:tabs>
          <w:tab w:val="num" w:pos="1440"/>
        </w:tabs>
        <w:ind w:left="1440" w:hanging="360"/>
      </w:pPr>
      <w:rPr>
        <w:rFonts w:ascii="Arial" w:hAnsi="Arial" w:hint="default"/>
      </w:rPr>
    </w:lvl>
    <w:lvl w:ilvl="2" w:tplc="6DACC442" w:tentative="1">
      <w:start w:val="1"/>
      <w:numFmt w:val="bullet"/>
      <w:lvlText w:val="•"/>
      <w:lvlJc w:val="left"/>
      <w:pPr>
        <w:tabs>
          <w:tab w:val="num" w:pos="2160"/>
        </w:tabs>
        <w:ind w:left="2160" w:hanging="360"/>
      </w:pPr>
      <w:rPr>
        <w:rFonts w:ascii="Arial" w:hAnsi="Arial" w:hint="default"/>
      </w:rPr>
    </w:lvl>
    <w:lvl w:ilvl="3" w:tplc="B1F6C1E2" w:tentative="1">
      <w:start w:val="1"/>
      <w:numFmt w:val="bullet"/>
      <w:lvlText w:val="•"/>
      <w:lvlJc w:val="left"/>
      <w:pPr>
        <w:tabs>
          <w:tab w:val="num" w:pos="2880"/>
        </w:tabs>
        <w:ind w:left="2880" w:hanging="360"/>
      </w:pPr>
      <w:rPr>
        <w:rFonts w:ascii="Arial" w:hAnsi="Arial" w:hint="default"/>
      </w:rPr>
    </w:lvl>
    <w:lvl w:ilvl="4" w:tplc="8CFACB1A" w:tentative="1">
      <w:start w:val="1"/>
      <w:numFmt w:val="bullet"/>
      <w:lvlText w:val="•"/>
      <w:lvlJc w:val="left"/>
      <w:pPr>
        <w:tabs>
          <w:tab w:val="num" w:pos="3600"/>
        </w:tabs>
        <w:ind w:left="3600" w:hanging="360"/>
      </w:pPr>
      <w:rPr>
        <w:rFonts w:ascii="Arial" w:hAnsi="Arial" w:hint="default"/>
      </w:rPr>
    </w:lvl>
    <w:lvl w:ilvl="5" w:tplc="3910A3CA" w:tentative="1">
      <w:start w:val="1"/>
      <w:numFmt w:val="bullet"/>
      <w:lvlText w:val="•"/>
      <w:lvlJc w:val="left"/>
      <w:pPr>
        <w:tabs>
          <w:tab w:val="num" w:pos="4320"/>
        </w:tabs>
        <w:ind w:left="4320" w:hanging="360"/>
      </w:pPr>
      <w:rPr>
        <w:rFonts w:ascii="Arial" w:hAnsi="Arial" w:hint="default"/>
      </w:rPr>
    </w:lvl>
    <w:lvl w:ilvl="6" w:tplc="EE7C99BC" w:tentative="1">
      <w:start w:val="1"/>
      <w:numFmt w:val="bullet"/>
      <w:lvlText w:val="•"/>
      <w:lvlJc w:val="left"/>
      <w:pPr>
        <w:tabs>
          <w:tab w:val="num" w:pos="5040"/>
        </w:tabs>
        <w:ind w:left="5040" w:hanging="360"/>
      </w:pPr>
      <w:rPr>
        <w:rFonts w:ascii="Arial" w:hAnsi="Arial" w:hint="default"/>
      </w:rPr>
    </w:lvl>
    <w:lvl w:ilvl="7" w:tplc="38AEF470" w:tentative="1">
      <w:start w:val="1"/>
      <w:numFmt w:val="bullet"/>
      <w:lvlText w:val="•"/>
      <w:lvlJc w:val="left"/>
      <w:pPr>
        <w:tabs>
          <w:tab w:val="num" w:pos="5760"/>
        </w:tabs>
        <w:ind w:left="5760" w:hanging="360"/>
      </w:pPr>
      <w:rPr>
        <w:rFonts w:ascii="Arial" w:hAnsi="Arial" w:hint="default"/>
      </w:rPr>
    </w:lvl>
    <w:lvl w:ilvl="8" w:tplc="2EDE7D3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9CC7941"/>
    <w:multiLevelType w:val="hybridMultilevel"/>
    <w:tmpl w:val="2726379C"/>
    <w:lvl w:ilvl="0" w:tplc="B57A928C">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C7B0B45"/>
    <w:multiLevelType w:val="hybridMultilevel"/>
    <w:tmpl w:val="B88A192C"/>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1" w15:restartNumberingAfterBreak="0">
    <w:nsid w:val="479A1856"/>
    <w:multiLevelType w:val="hybridMultilevel"/>
    <w:tmpl w:val="B3100A3C"/>
    <w:lvl w:ilvl="0" w:tplc="EF94B34C">
      <w:start w:val="1"/>
      <w:numFmt w:val="bullet"/>
      <w:lvlText w:val="•"/>
      <w:lvlJc w:val="left"/>
      <w:pPr>
        <w:tabs>
          <w:tab w:val="num" w:pos="720"/>
        </w:tabs>
        <w:ind w:left="720" w:hanging="360"/>
      </w:pPr>
      <w:rPr>
        <w:rFonts w:ascii="Arial" w:hAnsi="Arial" w:hint="default"/>
      </w:rPr>
    </w:lvl>
    <w:lvl w:ilvl="1" w:tplc="114282DA" w:tentative="1">
      <w:start w:val="1"/>
      <w:numFmt w:val="bullet"/>
      <w:lvlText w:val="•"/>
      <w:lvlJc w:val="left"/>
      <w:pPr>
        <w:tabs>
          <w:tab w:val="num" w:pos="1440"/>
        </w:tabs>
        <w:ind w:left="1440" w:hanging="360"/>
      </w:pPr>
      <w:rPr>
        <w:rFonts w:ascii="Arial" w:hAnsi="Arial" w:hint="default"/>
      </w:rPr>
    </w:lvl>
    <w:lvl w:ilvl="2" w:tplc="6E1E0D8C" w:tentative="1">
      <w:start w:val="1"/>
      <w:numFmt w:val="bullet"/>
      <w:lvlText w:val="•"/>
      <w:lvlJc w:val="left"/>
      <w:pPr>
        <w:tabs>
          <w:tab w:val="num" w:pos="2160"/>
        </w:tabs>
        <w:ind w:left="2160" w:hanging="360"/>
      </w:pPr>
      <w:rPr>
        <w:rFonts w:ascii="Arial" w:hAnsi="Arial" w:hint="default"/>
      </w:rPr>
    </w:lvl>
    <w:lvl w:ilvl="3" w:tplc="0652B902" w:tentative="1">
      <w:start w:val="1"/>
      <w:numFmt w:val="bullet"/>
      <w:lvlText w:val="•"/>
      <w:lvlJc w:val="left"/>
      <w:pPr>
        <w:tabs>
          <w:tab w:val="num" w:pos="2880"/>
        </w:tabs>
        <w:ind w:left="2880" w:hanging="360"/>
      </w:pPr>
      <w:rPr>
        <w:rFonts w:ascii="Arial" w:hAnsi="Arial" w:hint="default"/>
      </w:rPr>
    </w:lvl>
    <w:lvl w:ilvl="4" w:tplc="0486DF16" w:tentative="1">
      <w:start w:val="1"/>
      <w:numFmt w:val="bullet"/>
      <w:lvlText w:val="•"/>
      <w:lvlJc w:val="left"/>
      <w:pPr>
        <w:tabs>
          <w:tab w:val="num" w:pos="3600"/>
        </w:tabs>
        <w:ind w:left="3600" w:hanging="360"/>
      </w:pPr>
      <w:rPr>
        <w:rFonts w:ascii="Arial" w:hAnsi="Arial" w:hint="default"/>
      </w:rPr>
    </w:lvl>
    <w:lvl w:ilvl="5" w:tplc="0222468C" w:tentative="1">
      <w:start w:val="1"/>
      <w:numFmt w:val="bullet"/>
      <w:lvlText w:val="•"/>
      <w:lvlJc w:val="left"/>
      <w:pPr>
        <w:tabs>
          <w:tab w:val="num" w:pos="4320"/>
        </w:tabs>
        <w:ind w:left="4320" w:hanging="360"/>
      </w:pPr>
      <w:rPr>
        <w:rFonts w:ascii="Arial" w:hAnsi="Arial" w:hint="default"/>
      </w:rPr>
    </w:lvl>
    <w:lvl w:ilvl="6" w:tplc="BBD09D9C" w:tentative="1">
      <w:start w:val="1"/>
      <w:numFmt w:val="bullet"/>
      <w:lvlText w:val="•"/>
      <w:lvlJc w:val="left"/>
      <w:pPr>
        <w:tabs>
          <w:tab w:val="num" w:pos="5040"/>
        </w:tabs>
        <w:ind w:left="5040" w:hanging="360"/>
      </w:pPr>
      <w:rPr>
        <w:rFonts w:ascii="Arial" w:hAnsi="Arial" w:hint="default"/>
      </w:rPr>
    </w:lvl>
    <w:lvl w:ilvl="7" w:tplc="D58E4926" w:tentative="1">
      <w:start w:val="1"/>
      <w:numFmt w:val="bullet"/>
      <w:lvlText w:val="•"/>
      <w:lvlJc w:val="left"/>
      <w:pPr>
        <w:tabs>
          <w:tab w:val="num" w:pos="5760"/>
        </w:tabs>
        <w:ind w:left="5760" w:hanging="360"/>
      </w:pPr>
      <w:rPr>
        <w:rFonts w:ascii="Arial" w:hAnsi="Arial" w:hint="default"/>
      </w:rPr>
    </w:lvl>
    <w:lvl w:ilvl="8" w:tplc="9A424224"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AA72EAC"/>
    <w:multiLevelType w:val="hybridMultilevel"/>
    <w:tmpl w:val="3682AB1E"/>
    <w:lvl w:ilvl="0" w:tplc="2000000F">
      <w:start w:val="1"/>
      <w:numFmt w:val="decimal"/>
      <w:lvlText w:val="%1."/>
      <w:lvlJc w:val="left"/>
      <w:pPr>
        <w:ind w:left="360" w:hanging="360"/>
      </w:pPr>
    </w:lvl>
    <w:lvl w:ilvl="1" w:tplc="FFFFFFFF">
      <w:numFmt w:val="decimal"/>
      <w:lvlText w:val="o"/>
      <w:lvlJc w:val="left"/>
      <w:pPr>
        <w:ind w:left="1080" w:hanging="360"/>
      </w:pPr>
      <w:rPr>
        <w:rFonts w:ascii="Courier New" w:hAnsi="Courier New" w:cs="Courier New" w:hint="default"/>
      </w:rPr>
    </w:lvl>
    <w:lvl w:ilvl="2" w:tplc="FFFFFFFF">
      <w:numFmt w:val="decimal"/>
      <w:lvlText w:val=""/>
      <w:lvlJc w:val="left"/>
      <w:pPr>
        <w:ind w:left="1800" w:hanging="360"/>
      </w:pPr>
      <w:rPr>
        <w:rFonts w:ascii="Wingdings" w:hAnsi="Wingdings" w:hint="default"/>
      </w:rPr>
    </w:lvl>
    <w:lvl w:ilvl="3" w:tplc="FFFFFFFF">
      <w:numFmt w:val="decimal"/>
      <w:lvlText w:val=""/>
      <w:lvlJc w:val="left"/>
      <w:pPr>
        <w:ind w:left="2520" w:hanging="360"/>
      </w:pPr>
      <w:rPr>
        <w:rFonts w:ascii="Symbol" w:hAnsi="Symbol" w:hint="default"/>
      </w:rPr>
    </w:lvl>
    <w:lvl w:ilvl="4" w:tplc="FFFFFFFF">
      <w:numFmt w:val="decimal"/>
      <w:lvlText w:val="o"/>
      <w:lvlJc w:val="left"/>
      <w:pPr>
        <w:ind w:left="3240" w:hanging="360"/>
      </w:pPr>
      <w:rPr>
        <w:rFonts w:ascii="Courier New" w:hAnsi="Courier New" w:cs="Courier New" w:hint="default"/>
      </w:rPr>
    </w:lvl>
    <w:lvl w:ilvl="5" w:tplc="FFFFFFFF">
      <w:numFmt w:val="decimal"/>
      <w:lvlText w:val=""/>
      <w:lvlJc w:val="left"/>
      <w:pPr>
        <w:ind w:left="3960" w:hanging="360"/>
      </w:pPr>
      <w:rPr>
        <w:rFonts w:ascii="Wingdings" w:hAnsi="Wingdings" w:hint="default"/>
      </w:rPr>
    </w:lvl>
    <w:lvl w:ilvl="6" w:tplc="FFFFFFFF">
      <w:numFmt w:val="decimal"/>
      <w:lvlText w:val=""/>
      <w:lvlJc w:val="left"/>
      <w:pPr>
        <w:ind w:left="4680" w:hanging="360"/>
      </w:pPr>
      <w:rPr>
        <w:rFonts w:ascii="Symbol" w:hAnsi="Symbol" w:hint="default"/>
      </w:rPr>
    </w:lvl>
    <w:lvl w:ilvl="7" w:tplc="FFFFFFFF">
      <w:numFmt w:val="decimal"/>
      <w:lvlText w:val="o"/>
      <w:lvlJc w:val="left"/>
      <w:pPr>
        <w:ind w:left="5400" w:hanging="360"/>
      </w:pPr>
      <w:rPr>
        <w:rFonts w:ascii="Courier New" w:hAnsi="Courier New" w:cs="Courier New" w:hint="default"/>
      </w:rPr>
    </w:lvl>
    <w:lvl w:ilvl="8" w:tplc="FFFFFFFF">
      <w:numFmt w:val="decimal"/>
      <w:lvlText w:val=""/>
      <w:lvlJc w:val="left"/>
      <w:pPr>
        <w:ind w:left="6120" w:hanging="360"/>
      </w:pPr>
      <w:rPr>
        <w:rFonts w:ascii="Wingdings" w:hAnsi="Wingdings" w:hint="default"/>
      </w:rPr>
    </w:lvl>
  </w:abstractNum>
  <w:abstractNum w:abstractNumId="13" w15:restartNumberingAfterBreak="0">
    <w:nsid w:val="4B815235"/>
    <w:multiLevelType w:val="hybridMultilevel"/>
    <w:tmpl w:val="124E805A"/>
    <w:lvl w:ilvl="0" w:tplc="73E824C8">
      <w:start w:val="1"/>
      <w:numFmt w:val="bullet"/>
      <w:lvlText w:val="•"/>
      <w:lvlJc w:val="left"/>
      <w:pPr>
        <w:tabs>
          <w:tab w:val="num" w:pos="720"/>
        </w:tabs>
        <w:ind w:left="720" w:hanging="360"/>
      </w:pPr>
      <w:rPr>
        <w:rFonts w:ascii="Arial" w:hAnsi="Arial" w:hint="default"/>
      </w:rPr>
    </w:lvl>
    <w:lvl w:ilvl="1" w:tplc="6D7A42A6" w:tentative="1">
      <w:start w:val="1"/>
      <w:numFmt w:val="bullet"/>
      <w:lvlText w:val="•"/>
      <w:lvlJc w:val="left"/>
      <w:pPr>
        <w:tabs>
          <w:tab w:val="num" w:pos="1440"/>
        </w:tabs>
        <w:ind w:left="1440" w:hanging="360"/>
      </w:pPr>
      <w:rPr>
        <w:rFonts w:ascii="Arial" w:hAnsi="Arial" w:hint="default"/>
      </w:rPr>
    </w:lvl>
    <w:lvl w:ilvl="2" w:tplc="255A5A3A" w:tentative="1">
      <w:start w:val="1"/>
      <w:numFmt w:val="bullet"/>
      <w:lvlText w:val="•"/>
      <w:lvlJc w:val="left"/>
      <w:pPr>
        <w:tabs>
          <w:tab w:val="num" w:pos="2160"/>
        </w:tabs>
        <w:ind w:left="2160" w:hanging="360"/>
      </w:pPr>
      <w:rPr>
        <w:rFonts w:ascii="Arial" w:hAnsi="Arial" w:hint="default"/>
      </w:rPr>
    </w:lvl>
    <w:lvl w:ilvl="3" w:tplc="EF149BBA" w:tentative="1">
      <w:start w:val="1"/>
      <w:numFmt w:val="bullet"/>
      <w:lvlText w:val="•"/>
      <w:lvlJc w:val="left"/>
      <w:pPr>
        <w:tabs>
          <w:tab w:val="num" w:pos="2880"/>
        </w:tabs>
        <w:ind w:left="2880" w:hanging="360"/>
      </w:pPr>
      <w:rPr>
        <w:rFonts w:ascii="Arial" w:hAnsi="Arial" w:hint="default"/>
      </w:rPr>
    </w:lvl>
    <w:lvl w:ilvl="4" w:tplc="BB3C6B2E" w:tentative="1">
      <w:start w:val="1"/>
      <w:numFmt w:val="bullet"/>
      <w:lvlText w:val="•"/>
      <w:lvlJc w:val="left"/>
      <w:pPr>
        <w:tabs>
          <w:tab w:val="num" w:pos="3600"/>
        </w:tabs>
        <w:ind w:left="3600" w:hanging="360"/>
      </w:pPr>
      <w:rPr>
        <w:rFonts w:ascii="Arial" w:hAnsi="Arial" w:hint="default"/>
      </w:rPr>
    </w:lvl>
    <w:lvl w:ilvl="5" w:tplc="1D000EB4" w:tentative="1">
      <w:start w:val="1"/>
      <w:numFmt w:val="bullet"/>
      <w:lvlText w:val="•"/>
      <w:lvlJc w:val="left"/>
      <w:pPr>
        <w:tabs>
          <w:tab w:val="num" w:pos="4320"/>
        </w:tabs>
        <w:ind w:left="4320" w:hanging="360"/>
      </w:pPr>
      <w:rPr>
        <w:rFonts w:ascii="Arial" w:hAnsi="Arial" w:hint="default"/>
      </w:rPr>
    </w:lvl>
    <w:lvl w:ilvl="6" w:tplc="54025328" w:tentative="1">
      <w:start w:val="1"/>
      <w:numFmt w:val="bullet"/>
      <w:lvlText w:val="•"/>
      <w:lvlJc w:val="left"/>
      <w:pPr>
        <w:tabs>
          <w:tab w:val="num" w:pos="5040"/>
        </w:tabs>
        <w:ind w:left="5040" w:hanging="360"/>
      </w:pPr>
      <w:rPr>
        <w:rFonts w:ascii="Arial" w:hAnsi="Arial" w:hint="default"/>
      </w:rPr>
    </w:lvl>
    <w:lvl w:ilvl="7" w:tplc="A8126718" w:tentative="1">
      <w:start w:val="1"/>
      <w:numFmt w:val="bullet"/>
      <w:lvlText w:val="•"/>
      <w:lvlJc w:val="left"/>
      <w:pPr>
        <w:tabs>
          <w:tab w:val="num" w:pos="5760"/>
        </w:tabs>
        <w:ind w:left="5760" w:hanging="360"/>
      </w:pPr>
      <w:rPr>
        <w:rFonts w:ascii="Arial" w:hAnsi="Arial" w:hint="default"/>
      </w:rPr>
    </w:lvl>
    <w:lvl w:ilvl="8" w:tplc="64C8A79C"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50602E39"/>
    <w:multiLevelType w:val="hybridMultilevel"/>
    <w:tmpl w:val="18F49CC8"/>
    <w:lvl w:ilvl="0" w:tplc="20000001">
      <w:start w:val="1"/>
      <w:numFmt w:val="bullet"/>
      <w:lvlText w:val=""/>
      <w:lvlJc w:val="left"/>
      <w:pPr>
        <w:ind w:left="780" w:hanging="360"/>
      </w:pPr>
      <w:rPr>
        <w:rFonts w:ascii="Symbol" w:hAnsi="Symbol" w:hint="default"/>
      </w:rPr>
    </w:lvl>
    <w:lvl w:ilvl="1" w:tplc="10000003" w:tentative="1">
      <w:start w:val="1"/>
      <w:numFmt w:val="bullet"/>
      <w:lvlText w:val="o"/>
      <w:lvlJc w:val="left"/>
      <w:pPr>
        <w:ind w:left="1500" w:hanging="360"/>
      </w:pPr>
      <w:rPr>
        <w:rFonts w:ascii="Courier New" w:hAnsi="Courier New" w:cs="Courier New" w:hint="default"/>
      </w:rPr>
    </w:lvl>
    <w:lvl w:ilvl="2" w:tplc="10000005" w:tentative="1">
      <w:start w:val="1"/>
      <w:numFmt w:val="bullet"/>
      <w:lvlText w:val=""/>
      <w:lvlJc w:val="left"/>
      <w:pPr>
        <w:ind w:left="2220" w:hanging="360"/>
      </w:pPr>
      <w:rPr>
        <w:rFonts w:ascii="Wingdings" w:hAnsi="Wingdings" w:hint="default"/>
      </w:rPr>
    </w:lvl>
    <w:lvl w:ilvl="3" w:tplc="10000001" w:tentative="1">
      <w:start w:val="1"/>
      <w:numFmt w:val="bullet"/>
      <w:lvlText w:val=""/>
      <w:lvlJc w:val="left"/>
      <w:pPr>
        <w:ind w:left="2940" w:hanging="360"/>
      </w:pPr>
      <w:rPr>
        <w:rFonts w:ascii="Symbol" w:hAnsi="Symbol" w:hint="default"/>
      </w:rPr>
    </w:lvl>
    <w:lvl w:ilvl="4" w:tplc="10000003" w:tentative="1">
      <w:start w:val="1"/>
      <w:numFmt w:val="bullet"/>
      <w:lvlText w:val="o"/>
      <w:lvlJc w:val="left"/>
      <w:pPr>
        <w:ind w:left="3660" w:hanging="360"/>
      </w:pPr>
      <w:rPr>
        <w:rFonts w:ascii="Courier New" w:hAnsi="Courier New" w:cs="Courier New" w:hint="default"/>
      </w:rPr>
    </w:lvl>
    <w:lvl w:ilvl="5" w:tplc="10000005" w:tentative="1">
      <w:start w:val="1"/>
      <w:numFmt w:val="bullet"/>
      <w:lvlText w:val=""/>
      <w:lvlJc w:val="left"/>
      <w:pPr>
        <w:ind w:left="4380" w:hanging="360"/>
      </w:pPr>
      <w:rPr>
        <w:rFonts w:ascii="Wingdings" w:hAnsi="Wingdings" w:hint="default"/>
      </w:rPr>
    </w:lvl>
    <w:lvl w:ilvl="6" w:tplc="10000001" w:tentative="1">
      <w:start w:val="1"/>
      <w:numFmt w:val="bullet"/>
      <w:lvlText w:val=""/>
      <w:lvlJc w:val="left"/>
      <w:pPr>
        <w:ind w:left="5100" w:hanging="360"/>
      </w:pPr>
      <w:rPr>
        <w:rFonts w:ascii="Symbol" w:hAnsi="Symbol" w:hint="default"/>
      </w:rPr>
    </w:lvl>
    <w:lvl w:ilvl="7" w:tplc="10000003" w:tentative="1">
      <w:start w:val="1"/>
      <w:numFmt w:val="bullet"/>
      <w:lvlText w:val="o"/>
      <w:lvlJc w:val="left"/>
      <w:pPr>
        <w:ind w:left="5820" w:hanging="360"/>
      </w:pPr>
      <w:rPr>
        <w:rFonts w:ascii="Courier New" w:hAnsi="Courier New" w:cs="Courier New" w:hint="default"/>
      </w:rPr>
    </w:lvl>
    <w:lvl w:ilvl="8" w:tplc="10000005" w:tentative="1">
      <w:start w:val="1"/>
      <w:numFmt w:val="bullet"/>
      <w:lvlText w:val=""/>
      <w:lvlJc w:val="left"/>
      <w:pPr>
        <w:ind w:left="6540" w:hanging="360"/>
      </w:pPr>
      <w:rPr>
        <w:rFonts w:ascii="Wingdings" w:hAnsi="Wingdings" w:hint="default"/>
      </w:rPr>
    </w:lvl>
  </w:abstractNum>
  <w:abstractNum w:abstractNumId="15" w15:restartNumberingAfterBreak="0">
    <w:nsid w:val="567E56CF"/>
    <w:multiLevelType w:val="hybridMultilevel"/>
    <w:tmpl w:val="14685B0E"/>
    <w:lvl w:ilvl="0" w:tplc="8644793E">
      <w:start w:val="1"/>
      <w:numFmt w:val="bullet"/>
      <w:lvlText w:val="•"/>
      <w:lvlJc w:val="left"/>
      <w:pPr>
        <w:tabs>
          <w:tab w:val="num" w:pos="720"/>
        </w:tabs>
        <w:ind w:left="720" w:hanging="360"/>
      </w:pPr>
      <w:rPr>
        <w:rFonts w:ascii="Arial" w:hAnsi="Arial" w:hint="default"/>
      </w:rPr>
    </w:lvl>
    <w:lvl w:ilvl="1" w:tplc="D55228F4" w:tentative="1">
      <w:start w:val="1"/>
      <w:numFmt w:val="bullet"/>
      <w:lvlText w:val="•"/>
      <w:lvlJc w:val="left"/>
      <w:pPr>
        <w:tabs>
          <w:tab w:val="num" w:pos="1440"/>
        </w:tabs>
        <w:ind w:left="1440" w:hanging="360"/>
      </w:pPr>
      <w:rPr>
        <w:rFonts w:ascii="Arial" w:hAnsi="Arial" w:hint="default"/>
      </w:rPr>
    </w:lvl>
    <w:lvl w:ilvl="2" w:tplc="63D8E644" w:tentative="1">
      <w:start w:val="1"/>
      <w:numFmt w:val="bullet"/>
      <w:lvlText w:val="•"/>
      <w:lvlJc w:val="left"/>
      <w:pPr>
        <w:tabs>
          <w:tab w:val="num" w:pos="2160"/>
        </w:tabs>
        <w:ind w:left="2160" w:hanging="360"/>
      </w:pPr>
      <w:rPr>
        <w:rFonts w:ascii="Arial" w:hAnsi="Arial" w:hint="default"/>
      </w:rPr>
    </w:lvl>
    <w:lvl w:ilvl="3" w:tplc="60EA4BA4" w:tentative="1">
      <w:start w:val="1"/>
      <w:numFmt w:val="bullet"/>
      <w:lvlText w:val="•"/>
      <w:lvlJc w:val="left"/>
      <w:pPr>
        <w:tabs>
          <w:tab w:val="num" w:pos="2880"/>
        </w:tabs>
        <w:ind w:left="2880" w:hanging="360"/>
      </w:pPr>
      <w:rPr>
        <w:rFonts w:ascii="Arial" w:hAnsi="Arial" w:hint="default"/>
      </w:rPr>
    </w:lvl>
    <w:lvl w:ilvl="4" w:tplc="52F29F28" w:tentative="1">
      <w:start w:val="1"/>
      <w:numFmt w:val="bullet"/>
      <w:lvlText w:val="•"/>
      <w:lvlJc w:val="left"/>
      <w:pPr>
        <w:tabs>
          <w:tab w:val="num" w:pos="3600"/>
        </w:tabs>
        <w:ind w:left="3600" w:hanging="360"/>
      </w:pPr>
      <w:rPr>
        <w:rFonts w:ascii="Arial" w:hAnsi="Arial" w:hint="default"/>
      </w:rPr>
    </w:lvl>
    <w:lvl w:ilvl="5" w:tplc="3AD8C472" w:tentative="1">
      <w:start w:val="1"/>
      <w:numFmt w:val="bullet"/>
      <w:lvlText w:val="•"/>
      <w:lvlJc w:val="left"/>
      <w:pPr>
        <w:tabs>
          <w:tab w:val="num" w:pos="4320"/>
        </w:tabs>
        <w:ind w:left="4320" w:hanging="360"/>
      </w:pPr>
      <w:rPr>
        <w:rFonts w:ascii="Arial" w:hAnsi="Arial" w:hint="default"/>
      </w:rPr>
    </w:lvl>
    <w:lvl w:ilvl="6" w:tplc="F89289EE" w:tentative="1">
      <w:start w:val="1"/>
      <w:numFmt w:val="bullet"/>
      <w:lvlText w:val="•"/>
      <w:lvlJc w:val="left"/>
      <w:pPr>
        <w:tabs>
          <w:tab w:val="num" w:pos="5040"/>
        </w:tabs>
        <w:ind w:left="5040" w:hanging="360"/>
      </w:pPr>
      <w:rPr>
        <w:rFonts w:ascii="Arial" w:hAnsi="Arial" w:hint="default"/>
      </w:rPr>
    </w:lvl>
    <w:lvl w:ilvl="7" w:tplc="10D06436" w:tentative="1">
      <w:start w:val="1"/>
      <w:numFmt w:val="bullet"/>
      <w:lvlText w:val="•"/>
      <w:lvlJc w:val="left"/>
      <w:pPr>
        <w:tabs>
          <w:tab w:val="num" w:pos="5760"/>
        </w:tabs>
        <w:ind w:left="5760" w:hanging="360"/>
      </w:pPr>
      <w:rPr>
        <w:rFonts w:ascii="Arial" w:hAnsi="Arial" w:hint="default"/>
      </w:rPr>
    </w:lvl>
    <w:lvl w:ilvl="8" w:tplc="DC2C2BDE"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7CE4755"/>
    <w:multiLevelType w:val="hybridMultilevel"/>
    <w:tmpl w:val="6C0C5FD8"/>
    <w:lvl w:ilvl="0" w:tplc="363E4C0A">
      <w:start w:val="5"/>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9CE3F46"/>
    <w:multiLevelType w:val="hybridMultilevel"/>
    <w:tmpl w:val="8D707430"/>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76F319ED"/>
    <w:multiLevelType w:val="hybridMultilevel"/>
    <w:tmpl w:val="9FF89FCA"/>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7E7C2254"/>
    <w:multiLevelType w:val="hybridMultilevel"/>
    <w:tmpl w:val="20F6F33C"/>
    <w:lvl w:ilvl="0" w:tplc="1000000F">
      <w:start w:val="1"/>
      <w:numFmt w:val="decimal"/>
      <w:lvlText w:val="%1."/>
      <w:lvlJc w:val="left"/>
      <w:pPr>
        <w:tabs>
          <w:tab w:val="num" w:pos="720"/>
        </w:tabs>
        <w:ind w:left="720" w:hanging="360"/>
      </w:pPr>
      <w:rPr>
        <w:rFonts w:hint="default"/>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num w:numId="1" w16cid:durableId="1783643261">
    <w:abstractNumId w:val="9"/>
  </w:num>
  <w:num w:numId="2" w16cid:durableId="1349520674">
    <w:abstractNumId w:val="4"/>
  </w:num>
  <w:num w:numId="3" w16cid:durableId="2043507432">
    <w:abstractNumId w:val="7"/>
  </w:num>
  <w:num w:numId="4" w16cid:durableId="961808760">
    <w:abstractNumId w:val="14"/>
  </w:num>
  <w:num w:numId="5" w16cid:durableId="1439564353">
    <w:abstractNumId w:val="11"/>
  </w:num>
  <w:num w:numId="6" w16cid:durableId="424350413">
    <w:abstractNumId w:val="6"/>
  </w:num>
  <w:num w:numId="7" w16cid:durableId="1734041885">
    <w:abstractNumId w:val="16"/>
  </w:num>
  <w:num w:numId="8" w16cid:durableId="1533106032">
    <w:abstractNumId w:val="1"/>
  </w:num>
  <w:num w:numId="9" w16cid:durableId="1317539041">
    <w:abstractNumId w:val="13"/>
  </w:num>
  <w:num w:numId="10" w16cid:durableId="525602692">
    <w:abstractNumId w:val="15"/>
  </w:num>
  <w:num w:numId="11" w16cid:durableId="1301425669">
    <w:abstractNumId w:val="8"/>
  </w:num>
  <w:num w:numId="12" w16cid:durableId="256400838">
    <w:abstractNumId w:val="2"/>
  </w:num>
  <w:num w:numId="13" w16cid:durableId="553353096">
    <w:abstractNumId w:val="18"/>
  </w:num>
  <w:num w:numId="14" w16cid:durableId="1721201514">
    <w:abstractNumId w:val="5"/>
  </w:num>
  <w:num w:numId="15" w16cid:durableId="1986545602">
    <w:abstractNumId w:val="3"/>
  </w:num>
  <w:num w:numId="16" w16cid:durableId="1584875506">
    <w:abstractNumId w:val="19"/>
  </w:num>
  <w:num w:numId="17" w16cid:durableId="754788572">
    <w:abstractNumId w:val="12"/>
  </w:num>
  <w:num w:numId="18" w16cid:durableId="1990161192">
    <w:abstractNumId w:val="2"/>
  </w:num>
  <w:num w:numId="19" w16cid:durableId="299654989">
    <w:abstractNumId w:val="0"/>
  </w:num>
  <w:num w:numId="20" w16cid:durableId="849486219">
    <w:abstractNumId w:val="17"/>
  </w:num>
  <w:num w:numId="21" w16cid:durableId="206723261">
    <w:abstractNumId w:val="10"/>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ictor Maertens">
    <w15:presenceInfo w15:providerId="AD" w15:userId="S::Maertens@eucope.org::abc3b67d-2287-46d2-a7da-aa2b11b9507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attachedTemplate r:id="rId1"/>
  <w:stylePaneFormatFilter w:val="5404" w:allStyles="0" w:customStyles="0" w:latentStyles="1" w:stylesInUse="0" w:headingStyles="0" w:numberingStyles="0" w:tableStyles="0" w:directFormattingOnRuns="0" w:directFormattingOnParagraphs="0" w:directFormattingOnNumbering="1" w:directFormattingOnTables="0" w:clearFormatting="1" w:top3HeadingStyles="0" w:visibleStyles="1" w:alternateStyleNames="0"/>
  <w:stylePaneSortMethod w:val="0000"/>
  <w:trackRevisions/>
  <w:defaultTabStop w:val="720"/>
  <w:hyphenationZone w:val="425"/>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sDC2MDczMLW0sLQ0MzBW0lEKTi0uzszPAykwNKoFAPZrcdYtAAAA"/>
  </w:docVars>
  <w:rsids>
    <w:rsidRoot w:val="00AD58C4"/>
    <w:rsid w:val="0000084B"/>
    <w:rsid w:val="000025F4"/>
    <w:rsid w:val="0000377F"/>
    <w:rsid w:val="00003EFD"/>
    <w:rsid w:val="00004848"/>
    <w:rsid w:val="000058F1"/>
    <w:rsid w:val="00010172"/>
    <w:rsid w:val="0001245B"/>
    <w:rsid w:val="00015051"/>
    <w:rsid w:val="00016218"/>
    <w:rsid w:val="00016232"/>
    <w:rsid w:val="00017A82"/>
    <w:rsid w:val="0002087A"/>
    <w:rsid w:val="00021282"/>
    <w:rsid w:val="000227AF"/>
    <w:rsid w:val="000264B2"/>
    <w:rsid w:val="000264EA"/>
    <w:rsid w:val="00027A59"/>
    <w:rsid w:val="00027DCF"/>
    <w:rsid w:val="000306D2"/>
    <w:rsid w:val="000326D0"/>
    <w:rsid w:val="000328F7"/>
    <w:rsid w:val="00032D6A"/>
    <w:rsid w:val="00033E80"/>
    <w:rsid w:val="0003473E"/>
    <w:rsid w:val="00034AAB"/>
    <w:rsid w:val="00036205"/>
    <w:rsid w:val="00042153"/>
    <w:rsid w:val="0004331D"/>
    <w:rsid w:val="0004365A"/>
    <w:rsid w:val="000460F4"/>
    <w:rsid w:val="00046B2E"/>
    <w:rsid w:val="00046C18"/>
    <w:rsid w:val="00047788"/>
    <w:rsid w:val="00050B02"/>
    <w:rsid w:val="000518F6"/>
    <w:rsid w:val="000524C4"/>
    <w:rsid w:val="0005506D"/>
    <w:rsid w:val="00055277"/>
    <w:rsid w:val="00055F38"/>
    <w:rsid w:val="000602CB"/>
    <w:rsid w:val="000628B6"/>
    <w:rsid w:val="00063887"/>
    <w:rsid w:val="0006650D"/>
    <w:rsid w:val="00066779"/>
    <w:rsid w:val="000672EE"/>
    <w:rsid w:val="0007141A"/>
    <w:rsid w:val="00071B73"/>
    <w:rsid w:val="00072919"/>
    <w:rsid w:val="00072C28"/>
    <w:rsid w:val="00073336"/>
    <w:rsid w:val="00076D3F"/>
    <w:rsid w:val="000776CF"/>
    <w:rsid w:val="00077D79"/>
    <w:rsid w:val="00082EE2"/>
    <w:rsid w:val="0008355A"/>
    <w:rsid w:val="00084A0D"/>
    <w:rsid w:val="00084F03"/>
    <w:rsid w:val="00086137"/>
    <w:rsid w:val="0009146A"/>
    <w:rsid w:val="0009171B"/>
    <w:rsid w:val="00092919"/>
    <w:rsid w:val="00093277"/>
    <w:rsid w:val="00094C41"/>
    <w:rsid w:val="00095013"/>
    <w:rsid w:val="00095B55"/>
    <w:rsid w:val="000977E7"/>
    <w:rsid w:val="000A0952"/>
    <w:rsid w:val="000A0D7C"/>
    <w:rsid w:val="000A2754"/>
    <w:rsid w:val="000A3824"/>
    <w:rsid w:val="000A385A"/>
    <w:rsid w:val="000A4136"/>
    <w:rsid w:val="000A46CC"/>
    <w:rsid w:val="000A5577"/>
    <w:rsid w:val="000A7494"/>
    <w:rsid w:val="000B003D"/>
    <w:rsid w:val="000B0683"/>
    <w:rsid w:val="000B1D32"/>
    <w:rsid w:val="000B486A"/>
    <w:rsid w:val="000B4E84"/>
    <w:rsid w:val="000B5656"/>
    <w:rsid w:val="000C0A32"/>
    <w:rsid w:val="000C2756"/>
    <w:rsid w:val="000C298B"/>
    <w:rsid w:val="000C2CCD"/>
    <w:rsid w:val="000C2F01"/>
    <w:rsid w:val="000C3FC4"/>
    <w:rsid w:val="000C6C4F"/>
    <w:rsid w:val="000D0F1C"/>
    <w:rsid w:val="000D18B9"/>
    <w:rsid w:val="000D2816"/>
    <w:rsid w:val="000D3A8F"/>
    <w:rsid w:val="000D70D0"/>
    <w:rsid w:val="000D7DCE"/>
    <w:rsid w:val="000E2A58"/>
    <w:rsid w:val="000E5AC9"/>
    <w:rsid w:val="000E5F90"/>
    <w:rsid w:val="000E66A9"/>
    <w:rsid w:val="000E6DE5"/>
    <w:rsid w:val="000E75EC"/>
    <w:rsid w:val="000F20A0"/>
    <w:rsid w:val="000F2B3E"/>
    <w:rsid w:val="000F37F5"/>
    <w:rsid w:val="000F4BA2"/>
    <w:rsid w:val="000F4FA8"/>
    <w:rsid w:val="000F5093"/>
    <w:rsid w:val="000F54E7"/>
    <w:rsid w:val="000F58F3"/>
    <w:rsid w:val="001001A3"/>
    <w:rsid w:val="00101EAE"/>
    <w:rsid w:val="00102164"/>
    <w:rsid w:val="00102C91"/>
    <w:rsid w:val="00102F39"/>
    <w:rsid w:val="00104FA5"/>
    <w:rsid w:val="001061C4"/>
    <w:rsid w:val="001078AE"/>
    <w:rsid w:val="001107B5"/>
    <w:rsid w:val="00110EE8"/>
    <w:rsid w:val="001118C6"/>
    <w:rsid w:val="0011382D"/>
    <w:rsid w:val="00115C4A"/>
    <w:rsid w:val="00116B9A"/>
    <w:rsid w:val="00117AA7"/>
    <w:rsid w:val="0012031C"/>
    <w:rsid w:val="00127A07"/>
    <w:rsid w:val="0013158F"/>
    <w:rsid w:val="00132401"/>
    <w:rsid w:val="00132C14"/>
    <w:rsid w:val="001333E5"/>
    <w:rsid w:val="00134AF4"/>
    <w:rsid w:val="0013675C"/>
    <w:rsid w:val="00137DFC"/>
    <w:rsid w:val="00140556"/>
    <w:rsid w:val="00142B83"/>
    <w:rsid w:val="001431B9"/>
    <w:rsid w:val="001432C6"/>
    <w:rsid w:val="00143A19"/>
    <w:rsid w:val="00143C5B"/>
    <w:rsid w:val="00145359"/>
    <w:rsid w:val="001460E3"/>
    <w:rsid w:val="001461FC"/>
    <w:rsid w:val="0014623A"/>
    <w:rsid w:val="00146CCB"/>
    <w:rsid w:val="00147519"/>
    <w:rsid w:val="00154988"/>
    <w:rsid w:val="00154D79"/>
    <w:rsid w:val="001572BB"/>
    <w:rsid w:val="00162999"/>
    <w:rsid w:val="00164078"/>
    <w:rsid w:val="00165568"/>
    <w:rsid w:val="001658B1"/>
    <w:rsid w:val="001666C5"/>
    <w:rsid w:val="00166D88"/>
    <w:rsid w:val="001713A5"/>
    <w:rsid w:val="001737A1"/>
    <w:rsid w:val="00174C28"/>
    <w:rsid w:val="001755E3"/>
    <w:rsid w:val="00176ABC"/>
    <w:rsid w:val="00176D4B"/>
    <w:rsid w:val="00177E9A"/>
    <w:rsid w:val="00181430"/>
    <w:rsid w:val="00183C09"/>
    <w:rsid w:val="00184644"/>
    <w:rsid w:val="00184C92"/>
    <w:rsid w:val="00185513"/>
    <w:rsid w:val="001871B4"/>
    <w:rsid w:val="00193251"/>
    <w:rsid w:val="00193A85"/>
    <w:rsid w:val="00194D14"/>
    <w:rsid w:val="001958AE"/>
    <w:rsid w:val="001962D7"/>
    <w:rsid w:val="001A4E8A"/>
    <w:rsid w:val="001A5484"/>
    <w:rsid w:val="001A675E"/>
    <w:rsid w:val="001B0E55"/>
    <w:rsid w:val="001B12DF"/>
    <w:rsid w:val="001B2C43"/>
    <w:rsid w:val="001B2C50"/>
    <w:rsid w:val="001B5750"/>
    <w:rsid w:val="001B6EF4"/>
    <w:rsid w:val="001B7178"/>
    <w:rsid w:val="001C3E32"/>
    <w:rsid w:val="001C4932"/>
    <w:rsid w:val="001C6E7B"/>
    <w:rsid w:val="001C6FD9"/>
    <w:rsid w:val="001C7464"/>
    <w:rsid w:val="001D0327"/>
    <w:rsid w:val="001D0A00"/>
    <w:rsid w:val="001D18B0"/>
    <w:rsid w:val="001D2479"/>
    <w:rsid w:val="001D28DE"/>
    <w:rsid w:val="001D31EA"/>
    <w:rsid w:val="001D3FDC"/>
    <w:rsid w:val="001D50AE"/>
    <w:rsid w:val="001D52F0"/>
    <w:rsid w:val="001D5752"/>
    <w:rsid w:val="001D5B1E"/>
    <w:rsid w:val="001D6579"/>
    <w:rsid w:val="001D6F05"/>
    <w:rsid w:val="001D7AFC"/>
    <w:rsid w:val="001E2CA9"/>
    <w:rsid w:val="001E36E0"/>
    <w:rsid w:val="001E48A6"/>
    <w:rsid w:val="001E4B0C"/>
    <w:rsid w:val="001E5063"/>
    <w:rsid w:val="001E59C1"/>
    <w:rsid w:val="001F16E3"/>
    <w:rsid w:val="001F2C65"/>
    <w:rsid w:val="001F4B7B"/>
    <w:rsid w:val="001F5649"/>
    <w:rsid w:val="001F5EC5"/>
    <w:rsid w:val="0020061D"/>
    <w:rsid w:val="00204E81"/>
    <w:rsid w:val="00205099"/>
    <w:rsid w:val="00205E5A"/>
    <w:rsid w:val="00206F46"/>
    <w:rsid w:val="00207457"/>
    <w:rsid w:val="00212C6C"/>
    <w:rsid w:val="00213BBF"/>
    <w:rsid w:val="002141A7"/>
    <w:rsid w:val="002154A7"/>
    <w:rsid w:val="00216595"/>
    <w:rsid w:val="002170BB"/>
    <w:rsid w:val="00222662"/>
    <w:rsid w:val="00222ECB"/>
    <w:rsid w:val="002231DF"/>
    <w:rsid w:val="00223694"/>
    <w:rsid w:val="00224232"/>
    <w:rsid w:val="00224557"/>
    <w:rsid w:val="00225AB5"/>
    <w:rsid w:val="002311B7"/>
    <w:rsid w:val="002314EF"/>
    <w:rsid w:val="00231BC9"/>
    <w:rsid w:val="00232B70"/>
    <w:rsid w:val="00233728"/>
    <w:rsid w:val="00242770"/>
    <w:rsid w:val="00242D86"/>
    <w:rsid w:val="00245F52"/>
    <w:rsid w:val="00247229"/>
    <w:rsid w:val="00247639"/>
    <w:rsid w:val="002505DD"/>
    <w:rsid w:val="00252977"/>
    <w:rsid w:val="00252EDF"/>
    <w:rsid w:val="00253C89"/>
    <w:rsid w:val="0025532E"/>
    <w:rsid w:val="00255EFC"/>
    <w:rsid w:val="0026299F"/>
    <w:rsid w:val="002636BF"/>
    <w:rsid w:val="0026591B"/>
    <w:rsid w:val="0026598D"/>
    <w:rsid w:val="00265E4B"/>
    <w:rsid w:val="00265E53"/>
    <w:rsid w:val="0026680F"/>
    <w:rsid w:val="002706CA"/>
    <w:rsid w:val="00270FBA"/>
    <w:rsid w:val="002716EB"/>
    <w:rsid w:val="002719E8"/>
    <w:rsid w:val="00271E22"/>
    <w:rsid w:val="0027248A"/>
    <w:rsid w:val="0027482D"/>
    <w:rsid w:val="0027570D"/>
    <w:rsid w:val="00276106"/>
    <w:rsid w:val="0028052A"/>
    <w:rsid w:val="002830EC"/>
    <w:rsid w:val="00286A1D"/>
    <w:rsid w:val="0028799C"/>
    <w:rsid w:val="00290E0A"/>
    <w:rsid w:val="00291616"/>
    <w:rsid w:val="002939B4"/>
    <w:rsid w:val="00293EC9"/>
    <w:rsid w:val="00294730"/>
    <w:rsid w:val="002A0825"/>
    <w:rsid w:val="002A30AE"/>
    <w:rsid w:val="002A47DC"/>
    <w:rsid w:val="002A49AB"/>
    <w:rsid w:val="002A4A60"/>
    <w:rsid w:val="002A62A2"/>
    <w:rsid w:val="002A6572"/>
    <w:rsid w:val="002A6D3F"/>
    <w:rsid w:val="002B3602"/>
    <w:rsid w:val="002B367A"/>
    <w:rsid w:val="002B46F1"/>
    <w:rsid w:val="002B56CB"/>
    <w:rsid w:val="002B598A"/>
    <w:rsid w:val="002B6245"/>
    <w:rsid w:val="002B6661"/>
    <w:rsid w:val="002B7BB9"/>
    <w:rsid w:val="002B7C76"/>
    <w:rsid w:val="002B7DBD"/>
    <w:rsid w:val="002C0A49"/>
    <w:rsid w:val="002C12D3"/>
    <w:rsid w:val="002C2903"/>
    <w:rsid w:val="002C35E6"/>
    <w:rsid w:val="002C4300"/>
    <w:rsid w:val="002C482C"/>
    <w:rsid w:val="002C4F11"/>
    <w:rsid w:val="002C538A"/>
    <w:rsid w:val="002C53D9"/>
    <w:rsid w:val="002C5F5C"/>
    <w:rsid w:val="002C5FEA"/>
    <w:rsid w:val="002C610C"/>
    <w:rsid w:val="002C63B3"/>
    <w:rsid w:val="002C7AC3"/>
    <w:rsid w:val="002C7CB5"/>
    <w:rsid w:val="002C7F7E"/>
    <w:rsid w:val="002C7FC4"/>
    <w:rsid w:val="002D0B0B"/>
    <w:rsid w:val="002D2E24"/>
    <w:rsid w:val="002D3A3E"/>
    <w:rsid w:val="002D3BC1"/>
    <w:rsid w:val="002D3EF1"/>
    <w:rsid w:val="002D4E57"/>
    <w:rsid w:val="002D7DFF"/>
    <w:rsid w:val="002E1358"/>
    <w:rsid w:val="002E3BB1"/>
    <w:rsid w:val="002E431E"/>
    <w:rsid w:val="002E5FCB"/>
    <w:rsid w:val="002E63F6"/>
    <w:rsid w:val="002F0818"/>
    <w:rsid w:val="002F0C3B"/>
    <w:rsid w:val="002F22BA"/>
    <w:rsid w:val="002F2C7F"/>
    <w:rsid w:val="002F5BFF"/>
    <w:rsid w:val="002F62B0"/>
    <w:rsid w:val="002F696F"/>
    <w:rsid w:val="00300243"/>
    <w:rsid w:val="003002AA"/>
    <w:rsid w:val="003027A8"/>
    <w:rsid w:val="00302812"/>
    <w:rsid w:val="00303A6A"/>
    <w:rsid w:val="003047F9"/>
    <w:rsid w:val="003049BB"/>
    <w:rsid w:val="0030608E"/>
    <w:rsid w:val="003063DA"/>
    <w:rsid w:val="00306C5B"/>
    <w:rsid w:val="0031016F"/>
    <w:rsid w:val="00311E77"/>
    <w:rsid w:val="00314A79"/>
    <w:rsid w:val="00315567"/>
    <w:rsid w:val="00315C9D"/>
    <w:rsid w:val="0031686A"/>
    <w:rsid w:val="00316D5D"/>
    <w:rsid w:val="00316F6F"/>
    <w:rsid w:val="00317BF3"/>
    <w:rsid w:val="00320243"/>
    <w:rsid w:val="00321BA1"/>
    <w:rsid w:val="00323A60"/>
    <w:rsid w:val="00323CDA"/>
    <w:rsid w:val="00325AD5"/>
    <w:rsid w:val="00325B77"/>
    <w:rsid w:val="0032702E"/>
    <w:rsid w:val="00331C56"/>
    <w:rsid w:val="003324F0"/>
    <w:rsid w:val="00333E0D"/>
    <w:rsid w:val="00334E71"/>
    <w:rsid w:val="00335E35"/>
    <w:rsid w:val="00337300"/>
    <w:rsid w:val="0033774B"/>
    <w:rsid w:val="00340F43"/>
    <w:rsid w:val="003425DF"/>
    <w:rsid w:val="00342602"/>
    <w:rsid w:val="00343A29"/>
    <w:rsid w:val="00344CA1"/>
    <w:rsid w:val="0034503F"/>
    <w:rsid w:val="00346A1F"/>
    <w:rsid w:val="0034703A"/>
    <w:rsid w:val="00347177"/>
    <w:rsid w:val="0035129F"/>
    <w:rsid w:val="0035229E"/>
    <w:rsid w:val="00352B73"/>
    <w:rsid w:val="00352C54"/>
    <w:rsid w:val="0035476E"/>
    <w:rsid w:val="00355493"/>
    <w:rsid w:val="00363C6F"/>
    <w:rsid w:val="003661B7"/>
    <w:rsid w:val="00366233"/>
    <w:rsid w:val="00366320"/>
    <w:rsid w:val="0036644D"/>
    <w:rsid w:val="003665D2"/>
    <w:rsid w:val="00367419"/>
    <w:rsid w:val="003703DB"/>
    <w:rsid w:val="00370EEC"/>
    <w:rsid w:val="00371E89"/>
    <w:rsid w:val="00372613"/>
    <w:rsid w:val="003760F0"/>
    <w:rsid w:val="00376205"/>
    <w:rsid w:val="0037633C"/>
    <w:rsid w:val="003818D4"/>
    <w:rsid w:val="00382B5C"/>
    <w:rsid w:val="00385BD3"/>
    <w:rsid w:val="0038696F"/>
    <w:rsid w:val="00390FE0"/>
    <w:rsid w:val="0039143B"/>
    <w:rsid w:val="00392FC2"/>
    <w:rsid w:val="00393C70"/>
    <w:rsid w:val="003951D5"/>
    <w:rsid w:val="003956A6"/>
    <w:rsid w:val="00396549"/>
    <w:rsid w:val="0039722A"/>
    <w:rsid w:val="003A127E"/>
    <w:rsid w:val="003A1648"/>
    <w:rsid w:val="003A3160"/>
    <w:rsid w:val="003A5CAE"/>
    <w:rsid w:val="003A6277"/>
    <w:rsid w:val="003A687D"/>
    <w:rsid w:val="003A6A4C"/>
    <w:rsid w:val="003A6F12"/>
    <w:rsid w:val="003B05D5"/>
    <w:rsid w:val="003B0DBF"/>
    <w:rsid w:val="003B203A"/>
    <w:rsid w:val="003B2FB1"/>
    <w:rsid w:val="003B3C56"/>
    <w:rsid w:val="003B425F"/>
    <w:rsid w:val="003B457D"/>
    <w:rsid w:val="003B5448"/>
    <w:rsid w:val="003C04C3"/>
    <w:rsid w:val="003C07A3"/>
    <w:rsid w:val="003C246F"/>
    <w:rsid w:val="003C390D"/>
    <w:rsid w:val="003C3BE7"/>
    <w:rsid w:val="003C41AC"/>
    <w:rsid w:val="003C5199"/>
    <w:rsid w:val="003C739D"/>
    <w:rsid w:val="003C7E70"/>
    <w:rsid w:val="003D0547"/>
    <w:rsid w:val="003D23CC"/>
    <w:rsid w:val="003D240B"/>
    <w:rsid w:val="003D2AA7"/>
    <w:rsid w:val="003D3237"/>
    <w:rsid w:val="003D33BA"/>
    <w:rsid w:val="003D50E9"/>
    <w:rsid w:val="003D52FA"/>
    <w:rsid w:val="003D73A4"/>
    <w:rsid w:val="003D7EEE"/>
    <w:rsid w:val="003E0AE8"/>
    <w:rsid w:val="003E1191"/>
    <w:rsid w:val="003E282A"/>
    <w:rsid w:val="003E6946"/>
    <w:rsid w:val="003E6A9F"/>
    <w:rsid w:val="003E7E22"/>
    <w:rsid w:val="003F1B80"/>
    <w:rsid w:val="003F1E09"/>
    <w:rsid w:val="003F3258"/>
    <w:rsid w:val="003F6320"/>
    <w:rsid w:val="0040016C"/>
    <w:rsid w:val="004001A0"/>
    <w:rsid w:val="00400EC1"/>
    <w:rsid w:val="00402DA0"/>
    <w:rsid w:val="00402E19"/>
    <w:rsid w:val="004033E7"/>
    <w:rsid w:val="004038A8"/>
    <w:rsid w:val="00404853"/>
    <w:rsid w:val="004052BC"/>
    <w:rsid w:val="00405856"/>
    <w:rsid w:val="0040642F"/>
    <w:rsid w:val="00407D91"/>
    <w:rsid w:val="00407FA1"/>
    <w:rsid w:val="00416E93"/>
    <w:rsid w:val="00420665"/>
    <w:rsid w:val="00421082"/>
    <w:rsid w:val="00424492"/>
    <w:rsid w:val="0042510E"/>
    <w:rsid w:val="00425258"/>
    <w:rsid w:val="0042530E"/>
    <w:rsid w:val="00425896"/>
    <w:rsid w:val="0042783D"/>
    <w:rsid w:val="00427C9A"/>
    <w:rsid w:val="00427CF8"/>
    <w:rsid w:val="00430B55"/>
    <w:rsid w:val="004314CC"/>
    <w:rsid w:val="00432994"/>
    <w:rsid w:val="00432AE4"/>
    <w:rsid w:val="00433B9C"/>
    <w:rsid w:val="00434321"/>
    <w:rsid w:val="00434C81"/>
    <w:rsid w:val="00440911"/>
    <w:rsid w:val="00441ADC"/>
    <w:rsid w:val="00442ADC"/>
    <w:rsid w:val="00444437"/>
    <w:rsid w:val="00444A29"/>
    <w:rsid w:val="00444ABC"/>
    <w:rsid w:val="00445EC4"/>
    <w:rsid w:val="004471AC"/>
    <w:rsid w:val="00447766"/>
    <w:rsid w:val="0045198E"/>
    <w:rsid w:val="004527D3"/>
    <w:rsid w:val="00452B6B"/>
    <w:rsid w:val="00452EA6"/>
    <w:rsid w:val="00455E4F"/>
    <w:rsid w:val="00457A65"/>
    <w:rsid w:val="004611F4"/>
    <w:rsid w:val="0046233E"/>
    <w:rsid w:val="00462F92"/>
    <w:rsid w:val="0046334A"/>
    <w:rsid w:val="0046441D"/>
    <w:rsid w:val="00464CA3"/>
    <w:rsid w:val="00470DCB"/>
    <w:rsid w:val="004719BA"/>
    <w:rsid w:val="0047385B"/>
    <w:rsid w:val="00477D79"/>
    <w:rsid w:val="00481735"/>
    <w:rsid w:val="00481955"/>
    <w:rsid w:val="00484E06"/>
    <w:rsid w:val="00484E9E"/>
    <w:rsid w:val="0048708A"/>
    <w:rsid w:val="00491932"/>
    <w:rsid w:val="00491C38"/>
    <w:rsid w:val="00491EB6"/>
    <w:rsid w:val="004924BB"/>
    <w:rsid w:val="00493415"/>
    <w:rsid w:val="00495F1B"/>
    <w:rsid w:val="00496B35"/>
    <w:rsid w:val="004A2CDB"/>
    <w:rsid w:val="004A2E88"/>
    <w:rsid w:val="004A33F8"/>
    <w:rsid w:val="004A38FC"/>
    <w:rsid w:val="004A5625"/>
    <w:rsid w:val="004A5856"/>
    <w:rsid w:val="004A6E2C"/>
    <w:rsid w:val="004B0470"/>
    <w:rsid w:val="004B5BC4"/>
    <w:rsid w:val="004B7B32"/>
    <w:rsid w:val="004C0BBF"/>
    <w:rsid w:val="004C2C8C"/>
    <w:rsid w:val="004C2F1F"/>
    <w:rsid w:val="004C2F66"/>
    <w:rsid w:val="004C42FF"/>
    <w:rsid w:val="004C51BA"/>
    <w:rsid w:val="004C58E3"/>
    <w:rsid w:val="004C6D06"/>
    <w:rsid w:val="004C76AE"/>
    <w:rsid w:val="004D0B42"/>
    <w:rsid w:val="004D19EC"/>
    <w:rsid w:val="004D4E05"/>
    <w:rsid w:val="004E0112"/>
    <w:rsid w:val="004E0847"/>
    <w:rsid w:val="004E0BB4"/>
    <w:rsid w:val="004E30BD"/>
    <w:rsid w:val="004E6B10"/>
    <w:rsid w:val="004E6D54"/>
    <w:rsid w:val="004E756C"/>
    <w:rsid w:val="004F3F94"/>
    <w:rsid w:val="004F6BE5"/>
    <w:rsid w:val="004F7410"/>
    <w:rsid w:val="00501CC4"/>
    <w:rsid w:val="00502200"/>
    <w:rsid w:val="00502224"/>
    <w:rsid w:val="00502935"/>
    <w:rsid w:val="00502BF5"/>
    <w:rsid w:val="00503105"/>
    <w:rsid w:val="00505597"/>
    <w:rsid w:val="00506C5D"/>
    <w:rsid w:val="005103D0"/>
    <w:rsid w:val="00511133"/>
    <w:rsid w:val="0051126C"/>
    <w:rsid w:val="00511AFF"/>
    <w:rsid w:val="005202DD"/>
    <w:rsid w:val="00520762"/>
    <w:rsid w:val="00521FB7"/>
    <w:rsid w:val="00522A00"/>
    <w:rsid w:val="00525E98"/>
    <w:rsid w:val="00525ED0"/>
    <w:rsid w:val="0052668A"/>
    <w:rsid w:val="0052751E"/>
    <w:rsid w:val="0052798E"/>
    <w:rsid w:val="00527CA7"/>
    <w:rsid w:val="0053089D"/>
    <w:rsid w:val="005308B5"/>
    <w:rsid w:val="00532C4A"/>
    <w:rsid w:val="00532CE3"/>
    <w:rsid w:val="00534260"/>
    <w:rsid w:val="0053482D"/>
    <w:rsid w:val="00535489"/>
    <w:rsid w:val="0053639A"/>
    <w:rsid w:val="005365DE"/>
    <w:rsid w:val="0053663E"/>
    <w:rsid w:val="005367D9"/>
    <w:rsid w:val="0053730E"/>
    <w:rsid w:val="005407F8"/>
    <w:rsid w:val="0054139B"/>
    <w:rsid w:val="00541DCD"/>
    <w:rsid w:val="00543602"/>
    <w:rsid w:val="00545B34"/>
    <w:rsid w:val="00545B8D"/>
    <w:rsid w:val="005464C6"/>
    <w:rsid w:val="00552201"/>
    <w:rsid w:val="00552363"/>
    <w:rsid w:val="00552A6B"/>
    <w:rsid w:val="00553148"/>
    <w:rsid w:val="00553A4F"/>
    <w:rsid w:val="00554E9A"/>
    <w:rsid w:val="00555809"/>
    <w:rsid w:val="00555E6B"/>
    <w:rsid w:val="005576FF"/>
    <w:rsid w:val="00557F54"/>
    <w:rsid w:val="00561938"/>
    <w:rsid w:val="00562D7E"/>
    <w:rsid w:val="005641AE"/>
    <w:rsid w:val="0056533D"/>
    <w:rsid w:val="0056633A"/>
    <w:rsid w:val="0057174E"/>
    <w:rsid w:val="00573962"/>
    <w:rsid w:val="00574480"/>
    <w:rsid w:val="005744B1"/>
    <w:rsid w:val="00577DCF"/>
    <w:rsid w:val="00582C16"/>
    <w:rsid w:val="005840AC"/>
    <w:rsid w:val="00586353"/>
    <w:rsid w:val="00586462"/>
    <w:rsid w:val="00586A4B"/>
    <w:rsid w:val="00587243"/>
    <w:rsid w:val="00590444"/>
    <w:rsid w:val="0059362C"/>
    <w:rsid w:val="005942EB"/>
    <w:rsid w:val="00595EBE"/>
    <w:rsid w:val="00595F8C"/>
    <w:rsid w:val="005A0615"/>
    <w:rsid w:val="005A4916"/>
    <w:rsid w:val="005A74CF"/>
    <w:rsid w:val="005B233F"/>
    <w:rsid w:val="005B5DA6"/>
    <w:rsid w:val="005B6686"/>
    <w:rsid w:val="005B6E20"/>
    <w:rsid w:val="005C1D4E"/>
    <w:rsid w:val="005C1FF3"/>
    <w:rsid w:val="005C24D7"/>
    <w:rsid w:val="005C502C"/>
    <w:rsid w:val="005C5143"/>
    <w:rsid w:val="005C5742"/>
    <w:rsid w:val="005C60DE"/>
    <w:rsid w:val="005C6F88"/>
    <w:rsid w:val="005D06C4"/>
    <w:rsid w:val="005E0A01"/>
    <w:rsid w:val="005E1697"/>
    <w:rsid w:val="005E2DE7"/>
    <w:rsid w:val="005E4228"/>
    <w:rsid w:val="005E5C20"/>
    <w:rsid w:val="005E5C2A"/>
    <w:rsid w:val="005E659D"/>
    <w:rsid w:val="005E6EDF"/>
    <w:rsid w:val="005E72EE"/>
    <w:rsid w:val="005E7A7E"/>
    <w:rsid w:val="005E7AF3"/>
    <w:rsid w:val="005F186A"/>
    <w:rsid w:val="005F3EA9"/>
    <w:rsid w:val="005F4FB2"/>
    <w:rsid w:val="005F66CD"/>
    <w:rsid w:val="005F7B20"/>
    <w:rsid w:val="0060129F"/>
    <w:rsid w:val="006028D5"/>
    <w:rsid w:val="006028E3"/>
    <w:rsid w:val="0060297A"/>
    <w:rsid w:val="006030DA"/>
    <w:rsid w:val="006033F7"/>
    <w:rsid w:val="00603B21"/>
    <w:rsid w:val="00604897"/>
    <w:rsid w:val="006063CF"/>
    <w:rsid w:val="00606BFF"/>
    <w:rsid w:val="00606FEA"/>
    <w:rsid w:val="00607BA9"/>
    <w:rsid w:val="00610185"/>
    <w:rsid w:val="00611626"/>
    <w:rsid w:val="0061169B"/>
    <w:rsid w:val="00613BAF"/>
    <w:rsid w:val="006148CF"/>
    <w:rsid w:val="00615F11"/>
    <w:rsid w:val="006175DA"/>
    <w:rsid w:val="006208DA"/>
    <w:rsid w:val="0062123A"/>
    <w:rsid w:val="00621ADA"/>
    <w:rsid w:val="00625ABA"/>
    <w:rsid w:val="00625C75"/>
    <w:rsid w:val="00625DC0"/>
    <w:rsid w:val="006266A1"/>
    <w:rsid w:val="00626841"/>
    <w:rsid w:val="00626CEA"/>
    <w:rsid w:val="00630624"/>
    <w:rsid w:val="006310B3"/>
    <w:rsid w:val="00631C9A"/>
    <w:rsid w:val="006320CF"/>
    <w:rsid w:val="00632351"/>
    <w:rsid w:val="006323EB"/>
    <w:rsid w:val="00632814"/>
    <w:rsid w:val="00633547"/>
    <w:rsid w:val="00633E06"/>
    <w:rsid w:val="00635237"/>
    <w:rsid w:val="006361CE"/>
    <w:rsid w:val="00640D16"/>
    <w:rsid w:val="0064156F"/>
    <w:rsid w:val="00643545"/>
    <w:rsid w:val="00645856"/>
    <w:rsid w:val="00645B04"/>
    <w:rsid w:val="00645C9A"/>
    <w:rsid w:val="00646C69"/>
    <w:rsid w:val="00646E75"/>
    <w:rsid w:val="0065023F"/>
    <w:rsid w:val="00650CC9"/>
    <w:rsid w:val="00651AFD"/>
    <w:rsid w:val="00652A6C"/>
    <w:rsid w:val="006537E8"/>
    <w:rsid w:val="00653923"/>
    <w:rsid w:val="00654671"/>
    <w:rsid w:val="00655DE4"/>
    <w:rsid w:val="00660041"/>
    <w:rsid w:val="00660312"/>
    <w:rsid w:val="006609B3"/>
    <w:rsid w:val="0066164A"/>
    <w:rsid w:val="00663436"/>
    <w:rsid w:val="00663DAC"/>
    <w:rsid w:val="00664A30"/>
    <w:rsid w:val="00672AEE"/>
    <w:rsid w:val="006737DE"/>
    <w:rsid w:val="006755CA"/>
    <w:rsid w:val="00676693"/>
    <w:rsid w:val="00676C01"/>
    <w:rsid w:val="0067772B"/>
    <w:rsid w:val="00677D69"/>
    <w:rsid w:val="006816C8"/>
    <w:rsid w:val="00682BBA"/>
    <w:rsid w:val="00682F52"/>
    <w:rsid w:val="006833AD"/>
    <w:rsid w:val="00683C71"/>
    <w:rsid w:val="00686D93"/>
    <w:rsid w:val="00687FE1"/>
    <w:rsid w:val="00690BA4"/>
    <w:rsid w:val="00691256"/>
    <w:rsid w:val="0069139D"/>
    <w:rsid w:val="006916F4"/>
    <w:rsid w:val="00691747"/>
    <w:rsid w:val="0069181A"/>
    <w:rsid w:val="00693B1A"/>
    <w:rsid w:val="00695667"/>
    <w:rsid w:val="006A35A6"/>
    <w:rsid w:val="006A7AAD"/>
    <w:rsid w:val="006B01BD"/>
    <w:rsid w:val="006B05C8"/>
    <w:rsid w:val="006B0B8F"/>
    <w:rsid w:val="006B235A"/>
    <w:rsid w:val="006B23CC"/>
    <w:rsid w:val="006B2B41"/>
    <w:rsid w:val="006B359B"/>
    <w:rsid w:val="006B40AE"/>
    <w:rsid w:val="006B455D"/>
    <w:rsid w:val="006B48CF"/>
    <w:rsid w:val="006B517A"/>
    <w:rsid w:val="006B57C3"/>
    <w:rsid w:val="006B5AC1"/>
    <w:rsid w:val="006B5C51"/>
    <w:rsid w:val="006B5F4A"/>
    <w:rsid w:val="006B7441"/>
    <w:rsid w:val="006B7DE0"/>
    <w:rsid w:val="006C3E57"/>
    <w:rsid w:val="006C4BFA"/>
    <w:rsid w:val="006C7BD4"/>
    <w:rsid w:val="006D212B"/>
    <w:rsid w:val="006D31D6"/>
    <w:rsid w:val="006D4983"/>
    <w:rsid w:val="006D52C9"/>
    <w:rsid w:val="006D5D66"/>
    <w:rsid w:val="006D7202"/>
    <w:rsid w:val="006E4DAE"/>
    <w:rsid w:val="006E50B1"/>
    <w:rsid w:val="006E572B"/>
    <w:rsid w:val="006E582E"/>
    <w:rsid w:val="006E6F8C"/>
    <w:rsid w:val="006E7DB9"/>
    <w:rsid w:val="006F14C6"/>
    <w:rsid w:val="006F5486"/>
    <w:rsid w:val="006F6E8F"/>
    <w:rsid w:val="00700DEE"/>
    <w:rsid w:val="00701FB3"/>
    <w:rsid w:val="00705461"/>
    <w:rsid w:val="00706984"/>
    <w:rsid w:val="0070791A"/>
    <w:rsid w:val="00712A35"/>
    <w:rsid w:val="00715469"/>
    <w:rsid w:val="007154C7"/>
    <w:rsid w:val="00715ED6"/>
    <w:rsid w:val="00716BC3"/>
    <w:rsid w:val="00717D3F"/>
    <w:rsid w:val="00720731"/>
    <w:rsid w:val="007207E9"/>
    <w:rsid w:val="00724F7F"/>
    <w:rsid w:val="00725471"/>
    <w:rsid w:val="0072572E"/>
    <w:rsid w:val="00726FED"/>
    <w:rsid w:val="0072748C"/>
    <w:rsid w:val="00727860"/>
    <w:rsid w:val="00730D4F"/>
    <w:rsid w:val="00730D7C"/>
    <w:rsid w:val="007311AD"/>
    <w:rsid w:val="007324CD"/>
    <w:rsid w:val="007328E7"/>
    <w:rsid w:val="0073423D"/>
    <w:rsid w:val="00734BC5"/>
    <w:rsid w:val="0073628E"/>
    <w:rsid w:val="007377D8"/>
    <w:rsid w:val="00737869"/>
    <w:rsid w:val="007402C0"/>
    <w:rsid w:val="00740D93"/>
    <w:rsid w:val="00741FF9"/>
    <w:rsid w:val="007427F5"/>
    <w:rsid w:val="00742E55"/>
    <w:rsid w:val="00743777"/>
    <w:rsid w:val="00743A9D"/>
    <w:rsid w:val="00744B3C"/>
    <w:rsid w:val="007464DF"/>
    <w:rsid w:val="00747B11"/>
    <w:rsid w:val="00750EE0"/>
    <w:rsid w:val="00750F64"/>
    <w:rsid w:val="00751FAC"/>
    <w:rsid w:val="00752B0D"/>
    <w:rsid w:val="00753D9E"/>
    <w:rsid w:val="00754361"/>
    <w:rsid w:val="00756284"/>
    <w:rsid w:val="007563D1"/>
    <w:rsid w:val="00760765"/>
    <w:rsid w:val="0076086E"/>
    <w:rsid w:val="00761DC6"/>
    <w:rsid w:val="007627F1"/>
    <w:rsid w:val="007628C2"/>
    <w:rsid w:val="00764FB3"/>
    <w:rsid w:val="00770D30"/>
    <w:rsid w:val="00772773"/>
    <w:rsid w:val="00773BD9"/>
    <w:rsid w:val="00775D9B"/>
    <w:rsid w:val="00775E23"/>
    <w:rsid w:val="007769CD"/>
    <w:rsid w:val="00783D0A"/>
    <w:rsid w:val="00784986"/>
    <w:rsid w:val="00785694"/>
    <w:rsid w:val="00787A92"/>
    <w:rsid w:val="00791E7D"/>
    <w:rsid w:val="00795F08"/>
    <w:rsid w:val="0079626C"/>
    <w:rsid w:val="00796FF3"/>
    <w:rsid w:val="00797868"/>
    <w:rsid w:val="007A0062"/>
    <w:rsid w:val="007A009F"/>
    <w:rsid w:val="007A3FC0"/>
    <w:rsid w:val="007A4F4B"/>
    <w:rsid w:val="007A5C7D"/>
    <w:rsid w:val="007A6687"/>
    <w:rsid w:val="007B0211"/>
    <w:rsid w:val="007B02A4"/>
    <w:rsid w:val="007B04B4"/>
    <w:rsid w:val="007B19DB"/>
    <w:rsid w:val="007B2FB8"/>
    <w:rsid w:val="007B5090"/>
    <w:rsid w:val="007B56B6"/>
    <w:rsid w:val="007B6F08"/>
    <w:rsid w:val="007C07CD"/>
    <w:rsid w:val="007C0A2C"/>
    <w:rsid w:val="007C12A5"/>
    <w:rsid w:val="007C324F"/>
    <w:rsid w:val="007C342C"/>
    <w:rsid w:val="007C4779"/>
    <w:rsid w:val="007C4FD3"/>
    <w:rsid w:val="007C7988"/>
    <w:rsid w:val="007D00A8"/>
    <w:rsid w:val="007D10A5"/>
    <w:rsid w:val="007D3793"/>
    <w:rsid w:val="007D3A1F"/>
    <w:rsid w:val="007D5B63"/>
    <w:rsid w:val="007D5F54"/>
    <w:rsid w:val="007D72CD"/>
    <w:rsid w:val="007E02AA"/>
    <w:rsid w:val="007E05AC"/>
    <w:rsid w:val="007E0907"/>
    <w:rsid w:val="007E19FF"/>
    <w:rsid w:val="007E1CCA"/>
    <w:rsid w:val="007E4F2A"/>
    <w:rsid w:val="007E570F"/>
    <w:rsid w:val="007E5A74"/>
    <w:rsid w:val="007E630A"/>
    <w:rsid w:val="007E633C"/>
    <w:rsid w:val="007E663F"/>
    <w:rsid w:val="007E6B0A"/>
    <w:rsid w:val="007F21A3"/>
    <w:rsid w:val="007F34A8"/>
    <w:rsid w:val="007F396F"/>
    <w:rsid w:val="007F44D3"/>
    <w:rsid w:val="007F492B"/>
    <w:rsid w:val="007F4A5B"/>
    <w:rsid w:val="007F4F66"/>
    <w:rsid w:val="007F4F6D"/>
    <w:rsid w:val="007F6695"/>
    <w:rsid w:val="007F6DE3"/>
    <w:rsid w:val="007F756D"/>
    <w:rsid w:val="007F7C48"/>
    <w:rsid w:val="00800833"/>
    <w:rsid w:val="008009DA"/>
    <w:rsid w:val="00800ECE"/>
    <w:rsid w:val="0080213E"/>
    <w:rsid w:val="00802186"/>
    <w:rsid w:val="00802BE8"/>
    <w:rsid w:val="00810A41"/>
    <w:rsid w:val="00811C45"/>
    <w:rsid w:val="008129FC"/>
    <w:rsid w:val="00812A28"/>
    <w:rsid w:val="0081498B"/>
    <w:rsid w:val="008159AF"/>
    <w:rsid w:val="00817F7E"/>
    <w:rsid w:val="0082047C"/>
    <w:rsid w:val="00820935"/>
    <w:rsid w:val="0082244F"/>
    <w:rsid w:val="00825945"/>
    <w:rsid w:val="00830324"/>
    <w:rsid w:val="0083153E"/>
    <w:rsid w:val="008326E9"/>
    <w:rsid w:val="008344F1"/>
    <w:rsid w:val="0083450E"/>
    <w:rsid w:val="00835E39"/>
    <w:rsid w:val="008370CC"/>
    <w:rsid w:val="00840326"/>
    <w:rsid w:val="008403E7"/>
    <w:rsid w:val="008432E5"/>
    <w:rsid w:val="00843DCB"/>
    <w:rsid w:val="0084519D"/>
    <w:rsid w:val="00845E39"/>
    <w:rsid w:val="00846BFD"/>
    <w:rsid w:val="00847CA1"/>
    <w:rsid w:val="00850FB8"/>
    <w:rsid w:val="00851080"/>
    <w:rsid w:val="00851CA5"/>
    <w:rsid w:val="0085302E"/>
    <w:rsid w:val="008536AA"/>
    <w:rsid w:val="00854584"/>
    <w:rsid w:val="0085673B"/>
    <w:rsid w:val="0085718E"/>
    <w:rsid w:val="00857A43"/>
    <w:rsid w:val="00857CAF"/>
    <w:rsid w:val="00860833"/>
    <w:rsid w:val="00860B76"/>
    <w:rsid w:val="008614F0"/>
    <w:rsid w:val="00861BCE"/>
    <w:rsid w:val="00862D94"/>
    <w:rsid w:val="00864467"/>
    <w:rsid w:val="00864634"/>
    <w:rsid w:val="00870E2B"/>
    <w:rsid w:val="0087133D"/>
    <w:rsid w:val="00873748"/>
    <w:rsid w:val="00873DF3"/>
    <w:rsid w:val="00874084"/>
    <w:rsid w:val="008750C4"/>
    <w:rsid w:val="00875124"/>
    <w:rsid w:val="00875A41"/>
    <w:rsid w:val="008760B3"/>
    <w:rsid w:val="00876B6E"/>
    <w:rsid w:val="00877759"/>
    <w:rsid w:val="00877AD7"/>
    <w:rsid w:val="00877E0E"/>
    <w:rsid w:val="0088176E"/>
    <w:rsid w:val="00881D12"/>
    <w:rsid w:val="00886DCE"/>
    <w:rsid w:val="00887C09"/>
    <w:rsid w:val="00890B2B"/>
    <w:rsid w:val="00891E0B"/>
    <w:rsid w:val="00892CC4"/>
    <w:rsid w:val="00893C4C"/>
    <w:rsid w:val="008940D7"/>
    <w:rsid w:val="00894B9B"/>
    <w:rsid w:val="00894E31"/>
    <w:rsid w:val="0089616C"/>
    <w:rsid w:val="008977FC"/>
    <w:rsid w:val="008A00E9"/>
    <w:rsid w:val="008A07DE"/>
    <w:rsid w:val="008A1F7E"/>
    <w:rsid w:val="008A25B1"/>
    <w:rsid w:val="008A5E8E"/>
    <w:rsid w:val="008A7478"/>
    <w:rsid w:val="008A79B7"/>
    <w:rsid w:val="008A7FFE"/>
    <w:rsid w:val="008B0088"/>
    <w:rsid w:val="008B2704"/>
    <w:rsid w:val="008B27A8"/>
    <w:rsid w:val="008B2DA3"/>
    <w:rsid w:val="008B3C8C"/>
    <w:rsid w:val="008B629F"/>
    <w:rsid w:val="008B7253"/>
    <w:rsid w:val="008B7D6C"/>
    <w:rsid w:val="008C1E9F"/>
    <w:rsid w:val="008C1FDB"/>
    <w:rsid w:val="008C210E"/>
    <w:rsid w:val="008C52B8"/>
    <w:rsid w:val="008C578A"/>
    <w:rsid w:val="008D0342"/>
    <w:rsid w:val="008D0BB2"/>
    <w:rsid w:val="008D4966"/>
    <w:rsid w:val="008D49DA"/>
    <w:rsid w:val="008E102B"/>
    <w:rsid w:val="008E26CF"/>
    <w:rsid w:val="008E3B65"/>
    <w:rsid w:val="008E44FC"/>
    <w:rsid w:val="008E6AF0"/>
    <w:rsid w:val="008F21A9"/>
    <w:rsid w:val="008F2CD4"/>
    <w:rsid w:val="008F4C65"/>
    <w:rsid w:val="008F5565"/>
    <w:rsid w:val="008F5727"/>
    <w:rsid w:val="008F5FE2"/>
    <w:rsid w:val="008F7AC2"/>
    <w:rsid w:val="008F7EFE"/>
    <w:rsid w:val="00900430"/>
    <w:rsid w:val="00902846"/>
    <w:rsid w:val="00904B01"/>
    <w:rsid w:val="00907222"/>
    <w:rsid w:val="009072F0"/>
    <w:rsid w:val="0090780C"/>
    <w:rsid w:val="009122DA"/>
    <w:rsid w:val="0091412D"/>
    <w:rsid w:val="00914211"/>
    <w:rsid w:val="00915468"/>
    <w:rsid w:val="00915E2D"/>
    <w:rsid w:val="009170BE"/>
    <w:rsid w:val="009175EB"/>
    <w:rsid w:val="00917F3E"/>
    <w:rsid w:val="009201B6"/>
    <w:rsid w:val="00920F48"/>
    <w:rsid w:val="009210CF"/>
    <w:rsid w:val="009216B1"/>
    <w:rsid w:val="00922646"/>
    <w:rsid w:val="00923DDF"/>
    <w:rsid w:val="00925E1E"/>
    <w:rsid w:val="00925E86"/>
    <w:rsid w:val="009268C8"/>
    <w:rsid w:val="00927E71"/>
    <w:rsid w:val="0093088D"/>
    <w:rsid w:val="00930EA4"/>
    <w:rsid w:val="00932106"/>
    <w:rsid w:val="00932A36"/>
    <w:rsid w:val="009338F1"/>
    <w:rsid w:val="0093468F"/>
    <w:rsid w:val="00940502"/>
    <w:rsid w:val="00940B7D"/>
    <w:rsid w:val="009422EF"/>
    <w:rsid w:val="00943A83"/>
    <w:rsid w:val="0094536D"/>
    <w:rsid w:val="00946AAC"/>
    <w:rsid w:val="00950921"/>
    <w:rsid w:val="009509B0"/>
    <w:rsid w:val="009517E8"/>
    <w:rsid w:val="0095346D"/>
    <w:rsid w:val="00955D0B"/>
    <w:rsid w:val="00956C43"/>
    <w:rsid w:val="009614CC"/>
    <w:rsid w:val="009673A4"/>
    <w:rsid w:val="00970E81"/>
    <w:rsid w:val="0097140F"/>
    <w:rsid w:val="009719B7"/>
    <w:rsid w:val="00973049"/>
    <w:rsid w:val="0097334D"/>
    <w:rsid w:val="00974D6A"/>
    <w:rsid w:val="00974DA7"/>
    <w:rsid w:val="00974EB3"/>
    <w:rsid w:val="00975A41"/>
    <w:rsid w:val="009775E8"/>
    <w:rsid w:val="00980469"/>
    <w:rsid w:val="00980933"/>
    <w:rsid w:val="009830BC"/>
    <w:rsid w:val="009834F8"/>
    <w:rsid w:val="00985C80"/>
    <w:rsid w:val="009864AB"/>
    <w:rsid w:val="009873A3"/>
    <w:rsid w:val="00987A4F"/>
    <w:rsid w:val="00991132"/>
    <w:rsid w:val="00991CDB"/>
    <w:rsid w:val="00992C1A"/>
    <w:rsid w:val="00993C2A"/>
    <w:rsid w:val="009959F2"/>
    <w:rsid w:val="009963AF"/>
    <w:rsid w:val="009A068D"/>
    <w:rsid w:val="009A2135"/>
    <w:rsid w:val="009A3F8F"/>
    <w:rsid w:val="009A438A"/>
    <w:rsid w:val="009A7306"/>
    <w:rsid w:val="009B107F"/>
    <w:rsid w:val="009B3BD5"/>
    <w:rsid w:val="009B59F6"/>
    <w:rsid w:val="009B6DD7"/>
    <w:rsid w:val="009C1ED1"/>
    <w:rsid w:val="009C28ED"/>
    <w:rsid w:val="009C35BB"/>
    <w:rsid w:val="009C49E5"/>
    <w:rsid w:val="009C5665"/>
    <w:rsid w:val="009D16A5"/>
    <w:rsid w:val="009D1D45"/>
    <w:rsid w:val="009D30B7"/>
    <w:rsid w:val="009D6451"/>
    <w:rsid w:val="009E0F69"/>
    <w:rsid w:val="009E4503"/>
    <w:rsid w:val="009E4784"/>
    <w:rsid w:val="009E52F7"/>
    <w:rsid w:val="009E5AB2"/>
    <w:rsid w:val="009F0C03"/>
    <w:rsid w:val="009F5C85"/>
    <w:rsid w:val="009F68A2"/>
    <w:rsid w:val="009F7D6B"/>
    <w:rsid w:val="00A00DA7"/>
    <w:rsid w:val="00A010D1"/>
    <w:rsid w:val="00A015D3"/>
    <w:rsid w:val="00A017BD"/>
    <w:rsid w:val="00A0192B"/>
    <w:rsid w:val="00A02D41"/>
    <w:rsid w:val="00A03344"/>
    <w:rsid w:val="00A03790"/>
    <w:rsid w:val="00A039E2"/>
    <w:rsid w:val="00A04FE0"/>
    <w:rsid w:val="00A06709"/>
    <w:rsid w:val="00A06E0F"/>
    <w:rsid w:val="00A0706A"/>
    <w:rsid w:val="00A07F9D"/>
    <w:rsid w:val="00A10AC4"/>
    <w:rsid w:val="00A10D97"/>
    <w:rsid w:val="00A13564"/>
    <w:rsid w:val="00A15299"/>
    <w:rsid w:val="00A16CB5"/>
    <w:rsid w:val="00A1785D"/>
    <w:rsid w:val="00A20D1A"/>
    <w:rsid w:val="00A2139D"/>
    <w:rsid w:val="00A216DE"/>
    <w:rsid w:val="00A2331B"/>
    <w:rsid w:val="00A26266"/>
    <w:rsid w:val="00A2646D"/>
    <w:rsid w:val="00A26931"/>
    <w:rsid w:val="00A30B82"/>
    <w:rsid w:val="00A30D41"/>
    <w:rsid w:val="00A323F3"/>
    <w:rsid w:val="00A32453"/>
    <w:rsid w:val="00A328D2"/>
    <w:rsid w:val="00A32D94"/>
    <w:rsid w:val="00A339DB"/>
    <w:rsid w:val="00A35011"/>
    <w:rsid w:val="00A364F2"/>
    <w:rsid w:val="00A36BD4"/>
    <w:rsid w:val="00A42A29"/>
    <w:rsid w:val="00A45F4C"/>
    <w:rsid w:val="00A46206"/>
    <w:rsid w:val="00A4689A"/>
    <w:rsid w:val="00A50617"/>
    <w:rsid w:val="00A5187A"/>
    <w:rsid w:val="00A51BCA"/>
    <w:rsid w:val="00A51FD3"/>
    <w:rsid w:val="00A52F92"/>
    <w:rsid w:val="00A540B7"/>
    <w:rsid w:val="00A54BD0"/>
    <w:rsid w:val="00A57221"/>
    <w:rsid w:val="00A60DEA"/>
    <w:rsid w:val="00A61381"/>
    <w:rsid w:val="00A63145"/>
    <w:rsid w:val="00A646F1"/>
    <w:rsid w:val="00A65801"/>
    <w:rsid w:val="00A66041"/>
    <w:rsid w:val="00A675FC"/>
    <w:rsid w:val="00A71282"/>
    <w:rsid w:val="00A7225D"/>
    <w:rsid w:val="00A7253C"/>
    <w:rsid w:val="00A728D3"/>
    <w:rsid w:val="00A7393D"/>
    <w:rsid w:val="00A73948"/>
    <w:rsid w:val="00A73AE1"/>
    <w:rsid w:val="00A75CAF"/>
    <w:rsid w:val="00A76839"/>
    <w:rsid w:val="00A76DE1"/>
    <w:rsid w:val="00A81E55"/>
    <w:rsid w:val="00A85676"/>
    <w:rsid w:val="00A87FA9"/>
    <w:rsid w:val="00A90534"/>
    <w:rsid w:val="00A9255A"/>
    <w:rsid w:val="00A92C75"/>
    <w:rsid w:val="00A95226"/>
    <w:rsid w:val="00A95CAD"/>
    <w:rsid w:val="00A97DD8"/>
    <w:rsid w:val="00AA0902"/>
    <w:rsid w:val="00AA0D1C"/>
    <w:rsid w:val="00AA1533"/>
    <w:rsid w:val="00AA439E"/>
    <w:rsid w:val="00AA5D02"/>
    <w:rsid w:val="00AB07DB"/>
    <w:rsid w:val="00AB0E6B"/>
    <w:rsid w:val="00AB1CBB"/>
    <w:rsid w:val="00AB1D30"/>
    <w:rsid w:val="00AB2179"/>
    <w:rsid w:val="00AB2E8D"/>
    <w:rsid w:val="00AB2F9B"/>
    <w:rsid w:val="00AB37AD"/>
    <w:rsid w:val="00AB3DA3"/>
    <w:rsid w:val="00AB3F94"/>
    <w:rsid w:val="00AB51A9"/>
    <w:rsid w:val="00AB68C5"/>
    <w:rsid w:val="00AB6B29"/>
    <w:rsid w:val="00AC2B0E"/>
    <w:rsid w:val="00AC6574"/>
    <w:rsid w:val="00AC67E1"/>
    <w:rsid w:val="00AC6F8B"/>
    <w:rsid w:val="00AD099F"/>
    <w:rsid w:val="00AD2068"/>
    <w:rsid w:val="00AD3963"/>
    <w:rsid w:val="00AD3AAC"/>
    <w:rsid w:val="00AD3B6B"/>
    <w:rsid w:val="00AD4160"/>
    <w:rsid w:val="00AD4AB0"/>
    <w:rsid w:val="00AD4ECA"/>
    <w:rsid w:val="00AD58C4"/>
    <w:rsid w:val="00AD5B88"/>
    <w:rsid w:val="00AD6614"/>
    <w:rsid w:val="00AE086D"/>
    <w:rsid w:val="00AE224C"/>
    <w:rsid w:val="00AE496C"/>
    <w:rsid w:val="00AE6079"/>
    <w:rsid w:val="00AE62F6"/>
    <w:rsid w:val="00AE6817"/>
    <w:rsid w:val="00AE6BCB"/>
    <w:rsid w:val="00AF027C"/>
    <w:rsid w:val="00AF1D2F"/>
    <w:rsid w:val="00AF2770"/>
    <w:rsid w:val="00AF2EB4"/>
    <w:rsid w:val="00AF493C"/>
    <w:rsid w:val="00AF4B9A"/>
    <w:rsid w:val="00AF5367"/>
    <w:rsid w:val="00AF53C5"/>
    <w:rsid w:val="00B016C7"/>
    <w:rsid w:val="00B01726"/>
    <w:rsid w:val="00B05024"/>
    <w:rsid w:val="00B054FE"/>
    <w:rsid w:val="00B07B69"/>
    <w:rsid w:val="00B112E5"/>
    <w:rsid w:val="00B11DDD"/>
    <w:rsid w:val="00B1551C"/>
    <w:rsid w:val="00B16B2D"/>
    <w:rsid w:val="00B1796F"/>
    <w:rsid w:val="00B21D6A"/>
    <w:rsid w:val="00B21DE6"/>
    <w:rsid w:val="00B21F6C"/>
    <w:rsid w:val="00B23DA3"/>
    <w:rsid w:val="00B24035"/>
    <w:rsid w:val="00B248FC"/>
    <w:rsid w:val="00B30CF9"/>
    <w:rsid w:val="00B32D89"/>
    <w:rsid w:val="00B3309A"/>
    <w:rsid w:val="00B404D5"/>
    <w:rsid w:val="00B41679"/>
    <w:rsid w:val="00B416D4"/>
    <w:rsid w:val="00B44940"/>
    <w:rsid w:val="00B44969"/>
    <w:rsid w:val="00B46609"/>
    <w:rsid w:val="00B4787A"/>
    <w:rsid w:val="00B47DC1"/>
    <w:rsid w:val="00B50491"/>
    <w:rsid w:val="00B50BE1"/>
    <w:rsid w:val="00B510B6"/>
    <w:rsid w:val="00B53741"/>
    <w:rsid w:val="00B560DF"/>
    <w:rsid w:val="00B57DFB"/>
    <w:rsid w:val="00B607DA"/>
    <w:rsid w:val="00B610EF"/>
    <w:rsid w:val="00B61BD2"/>
    <w:rsid w:val="00B64E98"/>
    <w:rsid w:val="00B65DDC"/>
    <w:rsid w:val="00B66EF2"/>
    <w:rsid w:val="00B67B2A"/>
    <w:rsid w:val="00B712F5"/>
    <w:rsid w:val="00B71418"/>
    <w:rsid w:val="00B714E2"/>
    <w:rsid w:val="00B735D7"/>
    <w:rsid w:val="00B741E4"/>
    <w:rsid w:val="00B76A34"/>
    <w:rsid w:val="00B76F41"/>
    <w:rsid w:val="00B80096"/>
    <w:rsid w:val="00B86921"/>
    <w:rsid w:val="00B86AD7"/>
    <w:rsid w:val="00B86B01"/>
    <w:rsid w:val="00B874D8"/>
    <w:rsid w:val="00B92671"/>
    <w:rsid w:val="00B936E2"/>
    <w:rsid w:val="00B9378F"/>
    <w:rsid w:val="00B95D1D"/>
    <w:rsid w:val="00B95DD1"/>
    <w:rsid w:val="00BA237B"/>
    <w:rsid w:val="00BA2F4C"/>
    <w:rsid w:val="00BA4AB2"/>
    <w:rsid w:val="00BA5020"/>
    <w:rsid w:val="00BA5D34"/>
    <w:rsid w:val="00BA7010"/>
    <w:rsid w:val="00BA791C"/>
    <w:rsid w:val="00BB0181"/>
    <w:rsid w:val="00BB0EC4"/>
    <w:rsid w:val="00BB29B0"/>
    <w:rsid w:val="00BB496D"/>
    <w:rsid w:val="00BB5D1E"/>
    <w:rsid w:val="00BB6C44"/>
    <w:rsid w:val="00BB7364"/>
    <w:rsid w:val="00BC3E1F"/>
    <w:rsid w:val="00BC6A1F"/>
    <w:rsid w:val="00BD08E0"/>
    <w:rsid w:val="00BD28CC"/>
    <w:rsid w:val="00BD4C34"/>
    <w:rsid w:val="00BD58DF"/>
    <w:rsid w:val="00BD7837"/>
    <w:rsid w:val="00BD7D46"/>
    <w:rsid w:val="00BE0BAF"/>
    <w:rsid w:val="00BE2BA9"/>
    <w:rsid w:val="00BE2C6A"/>
    <w:rsid w:val="00BE4E6B"/>
    <w:rsid w:val="00BE593B"/>
    <w:rsid w:val="00BE6486"/>
    <w:rsid w:val="00BE6EBC"/>
    <w:rsid w:val="00BE74EC"/>
    <w:rsid w:val="00BF114B"/>
    <w:rsid w:val="00BF3390"/>
    <w:rsid w:val="00BF55AD"/>
    <w:rsid w:val="00BF6654"/>
    <w:rsid w:val="00BF684C"/>
    <w:rsid w:val="00BF717F"/>
    <w:rsid w:val="00BF71D3"/>
    <w:rsid w:val="00C0041B"/>
    <w:rsid w:val="00C029BF"/>
    <w:rsid w:val="00C0319F"/>
    <w:rsid w:val="00C03993"/>
    <w:rsid w:val="00C04B24"/>
    <w:rsid w:val="00C0558C"/>
    <w:rsid w:val="00C0595E"/>
    <w:rsid w:val="00C0612C"/>
    <w:rsid w:val="00C066FC"/>
    <w:rsid w:val="00C067BD"/>
    <w:rsid w:val="00C10268"/>
    <w:rsid w:val="00C1101F"/>
    <w:rsid w:val="00C12291"/>
    <w:rsid w:val="00C129AB"/>
    <w:rsid w:val="00C12FBB"/>
    <w:rsid w:val="00C14F03"/>
    <w:rsid w:val="00C16028"/>
    <w:rsid w:val="00C2315F"/>
    <w:rsid w:val="00C24AD8"/>
    <w:rsid w:val="00C2644C"/>
    <w:rsid w:val="00C26973"/>
    <w:rsid w:val="00C31023"/>
    <w:rsid w:val="00C31BF9"/>
    <w:rsid w:val="00C320DC"/>
    <w:rsid w:val="00C332C2"/>
    <w:rsid w:val="00C3350B"/>
    <w:rsid w:val="00C33799"/>
    <w:rsid w:val="00C346FD"/>
    <w:rsid w:val="00C34712"/>
    <w:rsid w:val="00C35D7E"/>
    <w:rsid w:val="00C37C0A"/>
    <w:rsid w:val="00C406F9"/>
    <w:rsid w:val="00C41D66"/>
    <w:rsid w:val="00C43585"/>
    <w:rsid w:val="00C45761"/>
    <w:rsid w:val="00C46111"/>
    <w:rsid w:val="00C47EAD"/>
    <w:rsid w:val="00C516A8"/>
    <w:rsid w:val="00C53908"/>
    <w:rsid w:val="00C54C3D"/>
    <w:rsid w:val="00C55116"/>
    <w:rsid w:val="00C56C0A"/>
    <w:rsid w:val="00C56FE9"/>
    <w:rsid w:val="00C57923"/>
    <w:rsid w:val="00C57CCA"/>
    <w:rsid w:val="00C57F4D"/>
    <w:rsid w:val="00C57FF2"/>
    <w:rsid w:val="00C603E7"/>
    <w:rsid w:val="00C6127A"/>
    <w:rsid w:val="00C619C1"/>
    <w:rsid w:val="00C61B1E"/>
    <w:rsid w:val="00C6517F"/>
    <w:rsid w:val="00C66FBF"/>
    <w:rsid w:val="00C75015"/>
    <w:rsid w:val="00C77650"/>
    <w:rsid w:val="00C77E1E"/>
    <w:rsid w:val="00C80F67"/>
    <w:rsid w:val="00C81C87"/>
    <w:rsid w:val="00C81E30"/>
    <w:rsid w:val="00C904B8"/>
    <w:rsid w:val="00C922E7"/>
    <w:rsid w:val="00C9237E"/>
    <w:rsid w:val="00C929C3"/>
    <w:rsid w:val="00C92DAA"/>
    <w:rsid w:val="00C94091"/>
    <w:rsid w:val="00C94F59"/>
    <w:rsid w:val="00C96AA3"/>
    <w:rsid w:val="00CA0E3F"/>
    <w:rsid w:val="00CA265D"/>
    <w:rsid w:val="00CA5882"/>
    <w:rsid w:val="00CA7424"/>
    <w:rsid w:val="00CB1AAD"/>
    <w:rsid w:val="00CB372B"/>
    <w:rsid w:val="00CB3733"/>
    <w:rsid w:val="00CB3A90"/>
    <w:rsid w:val="00CB472E"/>
    <w:rsid w:val="00CB6F0A"/>
    <w:rsid w:val="00CB77DF"/>
    <w:rsid w:val="00CC0E14"/>
    <w:rsid w:val="00CC387F"/>
    <w:rsid w:val="00CC3E1E"/>
    <w:rsid w:val="00CC41EC"/>
    <w:rsid w:val="00CC67E6"/>
    <w:rsid w:val="00CC70E2"/>
    <w:rsid w:val="00CC73C6"/>
    <w:rsid w:val="00CC7A4E"/>
    <w:rsid w:val="00CD169D"/>
    <w:rsid w:val="00CD1938"/>
    <w:rsid w:val="00CD2301"/>
    <w:rsid w:val="00CD324E"/>
    <w:rsid w:val="00CD384D"/>
    <w:rsid w:val="00CD41CE"/>
    <w:rsid w:val="00CD4D3C"/>
    <w:rsid w:val="00CE0CDC"/>
    <w:rsid w:val="00CE1FF8"/>
    <w:rsid w:val="00CE432D"/>
    <w:rsid w:val="00CE48D2"/>
    <w:rsid w:val="00CE6C81"/>
    <w:rsid w:val="00CE6D59"/>
    <w:rsid w:val="00CF0852"/>
    <w:rsid w:val="00CF0C6F"/>
    <w:rsid w:val="00CF425B"/>
    <w:rsid w:val="00CF4D1B"/>
    <w:rsid w:val="00CF65BE"/>
    <w:rsid w:val="00CF75BE"/>
    <w:rsid w:val="00D00379"/>
    <w:rsid w:val="00D005E9"/>
    <w:rsid w:val="00D0111E"/>
    <w:rsid w:val="00D0123D"/>
    <w:rsid w:val="00D02DA0"/>
    <w:rsid w:val="00D032CD"/>
    <w:rsid w:val="00D033D2"/>
    <w:rsid w:val="00D04EAF"/>
    <w:rsid w:val="00D05859"/>
    <w:rsid w:val="00D0706E"/>
    <w:rsid w:val="00D07459"/>
    <w:rsid w:val="00D1130D"/>
    <w:rsid w:val="00D11A25"/>
    <w:rsid w:val="00D11F5A"/>
    <w:rsid w:val="00D12B61"/>
    <w:rsid w:val="00D1345B"/>
    <w:rsid w:val="00D1384E"/>
    <w:rsid w:val="00D14447"/>
    <w:rsid w:val="00D1509A"/>
    <w:rsid w:val="00D16502"/>
    <w:rsid w:val="00D16F3D"/>
    <w:rsid w:val="00D17E6B"/>
    <w:rsid w:val="00D218B5"/>
    <w:rsid w:val="00D25484"/>
    <w:rsid w:val="00D25CC2"/>
    <w:rsid w:val="00D25D03"/>
    <w:rsid w:val="00D31F25"/>
    <w:rsid w:val="00D337A0"/>
    <w:rsid w:val="00D33CC1"/>
    <w:rsid w:val="00D34D29"/>
    <w:rsid w:val="00D36DFA"/>
    <w:rsid w:val="00D36F16"/>
    <w:rsid w:val="00D374A7"/>
    <w:rsid w:val="00D42DBE"/>
    <w:rsid w:val="00D43E41"/>
    <w:rsid w:val="00D449E2"/>
    <w:rsid w:val="00D4561E"/>
    <w:rsid w:val="00D475F4"/>
    <w:rsid w:val="00D47E79"/>
    <w:rsid w:val="00D501AE"/>
    <w:rsid w:val="00D505BE"/>
    <w:rsid w:val="00D506D8"/>
    <w:rsid w:val="00D5341F"/>
    <w:rsid w:val="00D536DB"/>
    <w:rsid w:val="00D53A83"/>
    <w:rsid w:val="00D54397"/>
    <w:rsid w:val="00D557B3"/>
    <w:rsid w:val="00D574C1"/>
    <w:rsid w:val="00D5752D"/>
    <w:rsid w:val="00D638A6"/>
    <w:rsid w:val="00D64899"/>
    <w:rsid w:val="00D6589F"/>
    <w:rsid w:val="00D66A2B"/>
    <w:rsid w:val="00D677C4"/>
    <w:rsid w:val="00D7174A"/>
    <w:rsid w:val="00D725B4"/>
    <w:rsid w:val="00D729B0"/>
    <w:rsid w:val="00D73362"/>
    <w:rsid w:val="00D742D8"/>
    <w:rsid w:val="00D74E83"/>
    <w:rsid w:val="00D7688B"/>
    <w:rsid w:val="00D77A85"/>
    <w:rsid w:val="00D823E2"/>
    <w:rsid w:val="00D8267E"/>
    <w:rsid w:val="00D82B89"/>
    <w:rsid w:val="00D82E79"/>
    <w:rsid w:val="00D832AD"/>
    <w:rsid w:val="00D843B2"/>
    <w:rsid w:val="00D8639D"/>
    <w:rsid w:val="00D876BF"/>
    <w:rsid w:val="00D945A7"/>
    <w:rsid w:val="00D96F74"/>
    <w:rsid w:val="00D978C0"/>
    <w:rsid w:val="00D97F36"/>
    <w:rsid w:val="00DA07DA"/>
    <w:rsid w:val="00DA1435"/>
    <w:rsid w:val="00DA32EB"/>
    <w:rsid w:val="00DB1A0E"/>
    <w:rsid w:val="00DB1B7F"/>
    <w:rsid w:val="00DB1FA7"/>
    <w:rsid w:val="00DB2148"/>
    <w:rsid w:val="00DB25B9"/>
    <w:rsid w:val="00DB2B4F"/>
    <w:rsid w:val="00DB44B0"/>
    <w:rsid w:val="00DB47B6"/>
    <w:rsid w:val="00DB6307"/>
    <w:rsid w:val="00DC0384"/>
    <w:rsid w:val="00DC2202"/>
    <w:rsid w:val="00DC5CB0"/>
    <w:rsid w:val="00DC6C22"/>
    <w:rsid w:val="00DD000C"/>
    <w:rsid w:val="00DD0998"/>
    <w:rsid w:val="00DD1969"/>
    <w:rsid w:val="00DD2B2B"/>
    <w:rsid w:val="00DD37E2"/>
    <w:rsid w:val="00DD392F"/>
    <w:rsid w:val="00DD3FAA"/>
    <w:rsid w:val="00DD566F"/>
    <w:rsid w:val="00DD7634"/>
    <w:rsid w:val="00DE3BE1"/>
    <w:rsid w:val="00DE4CB5"/>
    <w:rsid w:val="00DE784E"/>
    <w:rsid w:val="00DF0373"/>
    <w:rsid w:val="00DF0F0F"/>
    <w:rsid w:val="00DF4713"/>
    <w:rsid w:val="00DF6AF0"/>
    <w:rsid w:val="00DF7668"/>
    <w:rsid w:val="00DF7A1F"/>
    <w:rsid w:val="00E00131"/>
    <w:rsid w:val="00E016E8"/>
    <w:rsid w:val="00E01848"/>
    <w:rsid w:val="00E02481"/>
    <w:rsid w:val="00E03F35"/>
    <w:rsid w:val="00E0465F"/>
    <w:rsid w:val="00E069E3"/>
    <w:rsid w:val="00E0756B"/>
    <w:rsid w:val="00E10476"/>
    <w:rsid w:val="00E10DB4"/>
    <w:rsid w:val="00E123BF"/>
    <w:rsid w:val="00E126DE"/>
    <w:rsid w:val="00E131F4"/>
    <w:rsid w:val="00E174FF"/>
    <w:rsid w:val="00E17576"/>
    <w:rsid w:val="00E17EE3"/>
    <w:rsid w:val="00E229BE"/>
    <w:rsid w:val="00E23BE3"/>
    <w:rsid w:val="00E24AFD"/>
    <w:rsid w:val="00E262A6"/>
    <w:rsid w:val="00E274BD"/>
    <w:rsid w:val="00E311D3"/>
    <w:rsid w:val="00E402A8"/>
    <w:rsid w:val="00E43033"/>
    <w:rsid w:val="00E45043"/>
    <w:rsid w:val="00E4777C"/>
    <w:rsid w:val="00E5201D"/>
    <w:rsid w:val="00E54FE5"/>
    <w:rsid w:val="00E55D74"/>
    <w:rsid w:val="00E60A8A"/>
    <w:rsid w:val="00E63466"/>
    <w:rsid w:val="00E63984"/>
    <w:rsid w:val="00E63C8E"/>
    <w:rsid w:val="00E6524F"/>
    <w:rsid w:val="00E6577B"/>
    <w:rsid w:val="00E67027"/>
    <w:rsid w:val="00E71141"/>
    <w:rsid w:val="00E73DCE"/>
    <w:rsid w:val="00E74078"/>
    <w:rsid w:val="00E746F0"/>
    <w:rsid w:val="00E766EC"/>
    <w:rsid w:val="00E76ABB"/>
    <w:rsid w:val="00E80C00"/>
    <w:rsid w:val="00E816A4"/>
    <w:rsid w:val="00E81B3F"/>
    <w:rsid w:val="00E82AD7"/>
    <w:rsid w:val="00E855F9"/>
    <w:rsid w:val="00E862DE"/>
    <w:rsid w:val="00E86C2D"/>
    <w:rsid w:val="00E87414"/>
    <w:rsid w:val="00E917E0"/>
    <w:rsid w:val="00E94A2B"/>
    <w:rsid w:val="00E9574F"/>
    <w:rsid w:val="00E964E1"/>
    <w:rsid w:val="00EA069B"/>
    <w:rsid w:val="00EA0DC1"/>
    <w:rsid w:val="00EA1855"/>
    <w:rsid w:val="00EA5E66"/>
    <w:rsid w:val="00EA7894"/>
    <w:rsid w:val="00EB11B2"/>
    <w:rsid w:val="00EB184E"/>
    <w:rsid w:val="00EB2412"/>
    <w:rsid w:val="00EB2A92"/>
    <w:rsid w:val="00EB3833"/>
    <w:rsid w:val="00EB4E04"/>
    <w:rsid w:val="00EB7EB5"/>
    <w:rsid w:val="00EC1AEF"/>
    <w:rsid w:val="00EC1E5C"/>
    <w:rsid w:val="00EC2C8D"/>
    <w:rsid w:val="00EC47B9"/>
    <w:rsid w:val="00EC66DA"/>
    <w:rsid w:val="00EC6D47"/>
    <w:rsid w:val="00EC72C7"/>
    <w:rsid w:val="00ED0A44"/>
    <w:rsid w:val="00ED181A"/>
    <w:rsid w:val="00ED1C36"/>
    <w:rsid w:val="00ED462D"/>
    <w:rsid w:val="00ED4963"/>
    <w:rsid w:val="00ED7AB8"/>
    <w:rsid w:val="00EE0911"/>
    <w:rsid w:val="00EE101A"/>
    <w:rsid w:val="00EE13A3"/>
    <w:rsid w:val="00EE1B85"/>
    <w:rsid w:val="00EE27A3"/>
    <w:rsid w:val="00EE3009"/>
    <w:rsid w:val="00EE35BC"/>
    <w:rsid w:val="00EE4452"/>
    <w:rsid w:val="00EE6072"/>
    <w:rsid w:val="00EE6537"/>
    <w:rsid w:val="00EF1583"/>
    <w:rsid w:val="00EF1642"/>
    <w:rsid w:val="00EF1B20"/>
    <w:rsid w:val="00EF1C73"/>
    <w:rsid w:val="00EF2B5E"/>
    <w:rsid w:val="00EF345D"/>
    <w:rsid w:val="00EF6D33"/>
    <w:rsid w:val="00EF739B"/>
    <w:rsid w:val="00EF7578"/>
    <w:rsid w:val="00F01158"/>
    <w:rsid w:val="00F01411"/>
    <w:rsid w:val="00F04449"/>
    <w:rsid w:val="00F05C06"/>
    <w:rsid w:val="00F06B59"/>
    <w:rsid w:val="00F070B7"/>
    <w:rsid w:val="00F0782B"/>
    <w:rsid w:val="00F1511B"/>
    <w:rsid w:val="00F17B43"/>
    <w:rsid w:val="00F20ADF"/>
    <w:rsid w:val="00F22937"/>
    <w:rsid w:val="00F23CCB"/>
    <w:rsid w:val="00F253BD"/>
    <w:rsid w:val="00F2613A"/>
    <w:rsid w:val="00F261A9"/>
    <w:rsid w:val="00F31A04"/>
    <w:rsid w:val="00F33725"/>
    <w:rsid w:val="00F33FB6"/>
    <w:rsid w:val="00F3419A"/>
    <w:rsid w:val="00F35543"/>
    <w:rsid w:val="00F356A5"/>
    <w:rsid w:val="00F35B13"/>
    <w:rsid w:val="00F36627"/>
    <w:rsid w:val="00F405F8"/>
    <w:rsid w:val="00F407B7"/>
    <w:rsid w:val="00F41128"/>
    <w:rsid w:val="00F41618"/>
    <w:rsid w:val="00F43792"/>
    <w:rsid w:val="00F44066"/>
    <w:rsid w:val="00F46585"/>
    <w:rsid w:val="00F46FBE"/>
    <w:rsid w:val="00F50400"/>
    <w:rsid w:val="00F50533"/>
    <w:rsid w:val="00F51EC6"/>
    <w:rsid w:val="00F54089"/>
    <w:rsid w:val="00F5492A"/>
    <w:rsid w:val="00F57788"/>
    <w:rsid w:val="00F602E8"/>
    <w:rsid w:val="00F61BD8"/>
    <w:rsid w:val="00F6273D"/>
    <w:rsid w:val="00F6382E"/>
    <w:rsid w:val="00F670DA"/>
    <w:rsid w:val="00F67868"/>
    <w:rsid w:val="00F71F4E"/>
    <w:rsid w:val="00F73522"/>
    <w:rsid w:val="00F74C99"/>
    <w:rsid w:val="00F750FE"/>
    <w:rsid w:val="00F75143"/>
    <w:rsid w:val="00F764A4"/>
    <w:rsid w:val="00F77EBB"/>
    <w:rsid w:val="00F80F5D"/>
    <w:rsid w:val="00F827A7"/>
    <w:rsid w:val="00F84676"/>
    <w:rsid w:val="00F8620A"/>
    <w:rsid w:val="00F86675"/>
    <w:rsid w:val="00F87441"/>
    <w:rsid w:val="00F931A1"/>
    <w:rsid w:val="00F9350B"/>
    <w:rsid w:val="00F93A62"/>
    <w:rsid w:val="00F9487F"/>
    <w:rsid w:val="00F94BD4"/>
    <w:rsid w:val="00F95A5A"/>
    <w:rsid w:val="00F97084"/>
    <w:rsid w:val="00F97E69"/>
    <w:rsid w:val="00FA4472"/>
    <w:rsid w:val="00FA72AA"/>
    <w:rsid w:val="00FA7A97"/>
    <w:rsid w:val="00FB0630"/>
    <w:rsid w:val="00FB1ABD"/>
    <w:rsid w:val="00FB3684"/>
    <w:rsid w:val="00FB37AD"/>
    <w:rsid w:val="00FB6C06"/>
    <w:rsid w:val="00FC0716"/>
    <w:rsid w:val="00FC0D3E"/>
    <w:rsid w:val="00FC11ED"/>
    <w:rsid w:val="00FC1AA5"/>
    <w:rsid w:val="00FC22F7"/>
    <w:rsid w:val="00FC37F5"/>
    <w:rsid w:val="00FC3FD2"/>
    <w:rsid w:val="00FC561F"/>
    <w:rsid w:val="00FC5687"/>
    <w:rsid w:val="00FD16D7"/>
    <w:rsid w:val="00FD285A"/>
    <w:rsid w:val="00FD3FF5"/>
    <w:rsid w:val="00FD6057"/>
    <w:rsid w:val="00FD6252"/>
    <w:rsid w:val="00FD7B7D"/>
    <w:rsid w:val="00FD7E0E"/>
    <w:rsid w:val="00FE06F8"/>
    <w:rsid w:val="00FE130C"/>
    <w:rsid w:val="00FE3277"/>
    <w:rsid w:val="00FE357A"/>
    <w:rsid w:val="00FE42B6"/>
    <w:rsid w:val="00FE46AC"/>
    <w:rsid w:val="00FE5313"/>
    <w:rsid w:val="00FE5A31"/>
    <w:rsid w:val="00FE5C20"/>
    <w:rsid w:val="00FE5DFD"/>
    <w:rsid w:val="00FE5FEF"/>
    <w:rsid w:val="00FE781E"/>
    <w:rsid w:val="00FE788D"/>
    <w:rsid w:val="00FE7956"/>
    <w:rsid w:val="00FF0702"/>
    <w:rsid w:val="00FF1AEC"/>
    <w:rsid w:val="00FF1F7A"/>
    <w:rsid w:val="00FF2DFB"/>
    <w:rsid w:val="00FF44A8"/>
    <w:rsid w:val="00FF4F4B"/>
    <w:rsid w:val="00FF75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53DC84"/>
  <w14:defaultImageDpi w14:val="32767"/>
  <w15:chartTrackingRefBased/>
  <w15:docId w15:val="{7CEC8F17-A620-4BC4-A4EB-27CF0916F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6" w:unhideWhenUsed="1"/>
    <w:lsdException w:name="Signature" w:semiHidden="1" w:uiPriority="7"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iPriority="4"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lsdException w:name="Unresolved Mention" w:semiHidden="1"/>
    <w:lsdException w:name="Smart Link" w:semiHidden="1" w:unhideWhenUsed="1"/>
  </w:latentStyles>
  <w:style w:type="paragraph" w:default="1" w:styleId="Normal">
    <w:name w:val="Normal"/>
    <w:qFormat/>
    <w:rsid w:val="00AD58C4"/>
    <w:rPr>
      <w:lang w:val="en-GB"/>
    </w:rPr>
  </w:style>
  <w:style w:type="paragraph" w:styleId="Heading1">
    <w:name w:val="heading 1"/>
    <w:basedOn w:val="Normal"/>
    <w:next w:val="Normal"/>
    <w:link w:val="Heading1Char"/>
    <w:autoRedefine/>
    <w:uiPriority w:val="9"/>
    <w:qFormat/>
    <w:rsid w:val="00084A0D"/>
    <w:pPr>
      <w:spacing w:line="360" w:lineRule="auto"/>
      <w:ind w:left="284"/>
      <w:jc w:val="both"/>
      <w:outlineLvl w:val="0"/>
    </w:pPr>
    <w:rPr>
      <w:b/>
      <w:caps/>
      <w:color w:val="003C72"/>
      <w:sz w:val="24"/>
    </w:rPr>
  </w:style>
  <w:style w:type="paragraph" w:styleId="Heading2">
    <w:name w:val="heading 2"/>
    <w:basedOn w:val="Normal"/>
    <w:next w:val="Normal"/>
    <w:link w:val="Heading2Char"/>
    <w:uiPriority w:val="9"/>
    <w:semiHidden/>
    <w:unhideWhenUsed/>
    <w:qFormat/>
    <w:rsid w:val="00EF1642"/>
    <w:pPr>
      <w:pBdr>
        <w:top w:val="single" w:sz="24" w:space="0" w:color="AFD9FF" w:themeColor="accent1" w:themeTint="33"/>
        <w:left w:val="single" w:sz="24" w:space="0" w:color="AFD9FF" w:themeColor="accent1" w:themeTint="33"/>
        <w:bottom w:val="single" w:sz="24" w:space="0" w:color="AFD9FF" w:themeColor="accent1" w:themeTint="33"/>
        <w:right w:val="single" w:sz="24" w:space="0" w:color="AFD9FF" w:themeColor="accent1" w:themeTint="33"/>
      </w:pBdr>
      <w:shd w:val="clear" w:color="auto" w:fill="AFD9FF"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EF1642"/>
    <w:pPr>
      <w:pBdr>
        <w:top w:val="single" w:sz="6" w:space="2" w:color="003C72" w:themeColor="accent1"/>
      </w:pBdr>
      <w:spacing w:before="300" w:after="0"/>
      <w:outlineLvl w:val="2"/>
    </w:pPr>
    <w:rPr>
      <w:caps/>
      <w:color w:val="001D38" w:themeColor="accent1" w:themeShade="7F"/>
      <w:spacing w:val="15"/>
    </w:rPr>
  </w:style>
  <w:style w:type="paragraph" w:styleId="Heading4">
    <w:name w:val="heading 4"/>
    <w:basedOn w:val="Normal"/>
    <w:next w:val="Normal"/>
    <w:link w:val="Heading4Char"/>
    <w:uiPriority w:val="9"/>
    <w:semiHidden/>
    <w:unhideWhenUsed/>
    <w:qFormat/>
    <w:rsid w:val="00EF1642"/>
    <w:pPr>
      <w:pBdr>
        <w:top w:val="dotted" w:sz="6" w:space="2" w:color="003C72" w:themeColor="accent1"/>
      </w:pBdr>
      <w:spacing w:before="200" w:after="0"/>
      <w:outlineLvl w:val="3"/>
    </w:pPr>
    <w:rPr>
      <w:caps/>
      <w:color w:val="002C55" w:themeColor="accent1" w:themeShade="BF"/>
      <w:spacing w:val="10"/>
    </w:rPr>
  </w:style>
  <w:style w:type="paragraph" w:styleId="Heading5">
    <w:name w:val="heading 5"/>
    <w:basedOn w:val="Normal"/>
    <w:next w:val="Normal"/>
    <w:link w:val="Heading5Char"/>
    <w:uiPriority w:val="9"/>
    <w:semiHidden/>
    <w:unhideWhenUsed/>
    <w:qFormat/>
    <w:rsid w:val="00EF1642"/>
    <w:pPr>
      <w:pBdr>
        <w:bottom w:val="single" w:sz="6" w:space="1" w:color="003C72" w:themeColor="accent1"/>
      </w:pBdr>
      <w:spacing w:before="200" w:after="0"/>
      <w:outlineLvl w:val="4"/>
    </w:pPr>
    <w:rPr>
      <w:caps/>
      <w:color w:val="002C55" w:themeColor="accent1" w:themeShade="BF"/>
      <w:spacing w:val="10"/>
    </w:rPr>
  </w:style>
  <w:style w:type="paragraph" w:styleId="Heading6">
    <w:name w:val="heading 6"/>
    <w:basedOn w:val="Normal"/>
    <w:next w:val="Normal"/>
    <w:link w:val="Heading6Char"/>
    <w:uiPriority w:val="9"/>
    <w:semiHidden/>
    <w:unhideWhenUsed/>
    <w:qFormat/>
    <w:rsid w:val="00EF1642"/>
    <w:pPr>
      <w:pBdr>
        <w:bottom w:val="dotted" w:sz="6" w:space="1" w:color="003C72" w:themeColor="accent1"/>
      </w:pBdr>
      <w:spacing w:before="200" w:after="0"/>
      <w:outlineLvl w:val="5"/>
    </w:pPr>
    <w:rPr>
      <w:caps/>
      <w:color w:val="002C55" w:themeColor="accent1" w:themeShade="BF"/>
      <w:spacing w:val="10"/>
    </w:rPr>
  </w:style>
  <w:style w:type="paragraph" w:styleId="Heading7">
    <w:name w:val="heading 7"/>
    <w:basedOn w:val="Normal"/>
    <w:next w:val="Normal"/>
    <w:link w:val="Heading7Char"/>
    <w:uiPriority w:val="9"/>
    <w:semiHidden/>
    <w:unhideWhenUsed/>
    <w:qFormat/>
    <w:rsid w:val="00EF1642"/>
    <w:pPr>
      <w:spacing w:before="200" w:after="0"/>
      <w:outlineLvl w:val="6"/>
    </w:pPr>
    <w:rPr>
      <w:caps/>
      <w:color w:val="002C55" w:themeColor="accent1" w:themeShade="BF"/>
      <w:spacing w:val="10"/>
    </w:rPr>
  </w:style>
  <w:style w:type="paragraph" w:styleId="Heading8">
    <w:name w:val="heading 8"/>
    <w:basedOn w:val="Normal"/>
    <w:next w:val="Normal"/>
    <w:link w:val="Heading8Char"/>
    <w:uiPriority w:val="9"/>
    <w:semiHidden/>
    <w:unhideWhenUsed/>
    <w:qFormat/>
    <w:rsid w:val="00EF1642"/>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EF1642"/>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46FBE"/>
    <w:pPr>
      <w:spacing w:beforeAutospacing="1" w:after="100" w:afterAutospacing="1"/>
    </w:pPr>
    <w:rPr>
      <w:rFonts w:ascii="Times New Roman" w:hAnsi="Times New Roman" w:cs="Times New Roman"/>
    </w:rPr>
  </w:style>
  <w:style w:type="character" w:customStyle="1" w:styleId="Heading1Char">
    <w:name w:val="Heading 1 Char"/>
    <w:basedOn w:val="DefaultParagraphFont"/>
    <w:link w:val="Heading1"/>
    <w:uiPriority w:val="9"/>
    <w:rsid w:val="00084A0D"/>
    <w:rPr>
      <w:b/>
      <w:caps/>
      <w:color w:val="003C72"/>
      <w:sz w:val="24"/>
      <w:lang w:val="en-GB"/>
    </w:rPr>
  </w:style>
  <w:style w:type="character" w:customStyle="1" w:styleId="Heading2Char">
    <w:name w:val="Heading 2 Char"/>
    <w:basedOn w:val="DefaultParagraphFont"/>
    <w:link w:val="Heading2"/>
    <w:uiPriority w:val="9"/>
    <w:semiHidden/>
    <w:rsid w:val="00EF1642"/>
    <w:rPr>
      <w:caps/>
      <w:spacing w:val="15"/>
      <w:shd w:val="clear" w:color="auto" w:fill="AFD9FF" w:themeFill="accent1" w:themeFillTint="33"/>
    </w:rPr>
  </w:style>
  <w:style w:type="paragraph" w:styleId="Salutation">
    <w:name w:val="Salutation"/>
    <w:basedOn w:val="Normal"/>
    <w:link w:val="SalutationChar"/>
    <w:uiPriority w:val="4"/>
    <w:unhideWhenUsed/>
    <w:rsid w:val="00F46FBE"/>
    <w:pPr>
      <w:spacing w:before="720" w:after="160" w:line="288" w:lineRule="auto"/>
    </w:pPr>
    <w:rPr>
      <w:rFonts w:eastAsiaTheme="minorHAnsi"/>
      <w:color w:val="595959" w:themeColor="text1" w:themeTint="A6"/>
      <w:kern w:val="20"/>
    </w:rPr>
  </w:style>
  <w:style w:type="character" w:customStyle="1" w:styleId="SalutationChar">
    <w:name w:val="Salutation Char"/>
    <w:basedOn w:val="DefaultParagraphFont"/>
    <w:link w:val="Salutation"/>
    <w:uiPriority w:val="4"/>
    <w:rsid w:val="00F46FBE"/>
    <w:rPr>
      <w:rFonts w:eastAsiaTheme="minorHAnsi"/>
      <w:color w:val="595959" w:themeColor="text1" w:themeTint="A6"/>
      <w:kern w:val="20"/>
      <w:sz w:val="20"/>
      <w:szCs w:val="20"/>
    </w:rPr>
  </w:style>
  <w:style w:type="paragraph" w:styleId="Closing">
    <w:name w:val="Closing"/>
    <w:basedOn w:val="Normal"/>
    <w:next w:val="Signature"/>
    <w:link w:val="ClosingChar"/>
    <w:uiPriority w:val="6"/>
    <w:unhideWhenUsed/>
    <w:rsid w:val="00145359"/>
    <w:pPr>
      <w:spacing w:before="480" w:after="720"/>
    </w:pPr>
    <w:rPr>
      <w:rFonts w:eastAsiaTheme="minorHAnsi"/>
      <w:color w:val="595959" w:themeColor="text1" w:themeTint="A6"/>
      <w:kern w:val="20"/>
    </w:rPr>
  </w:style>
  <w:style w:type="character" w:customStyle="1" w:styleId="ClosingChar">
    <w:name w:val="Closing Char"/>
    <w:basedOn w:val="DefaultParagraphFont"/>
    <w:link w:val="Closing"/>
    <w:uiPriority w:val="6"/>
    <w:rsid w:val="00145359"/>
    <w:rPr>
      <w:rFonts w:eastAsiaTheme="minorHAnsi"/>
      <w:color w:val="595959" w:themeColor="text1" w:themeTint="A6"/>
      <w:kern w:val="20"/>
      <w:szCs w:val="20"/>
    </w:rPr>
  </w:style>
  <w:style w:type="paragraph" w:styleId="Signature">
    <w:name w:val="Signature"/>
    <w:basedOn w:val="Normal"/>
    <w:link w:val="SignatureChar"/>
    <w:uiPriority w:val="7"/>
    <w:unhideWhenUsed/>
    <w:rsid w:val="009B3BD5"/>
    <w:pPr>
      <w:spacing w:before="40" w:after="0" w:line="288" w:lineRule="auto"/>
    </w:pPr>
    <w:rPr>
      <w:rFonts w:eastAsiaTheme="minorHAnsi"/>
      <w:b/>
      <w:bCs/>
      <w:color w:val="595959" w:themeColor="text1" w:themeTint="A6"/>
      <w:kern w:val="20"/>
    </w:rPr>
  </w:style>
  <w:style w:type="character" w:customStyle="1" w:styleId="SignatureChar">
    <w:name w:val="Signature Char"/>
    <w:basedOn w:val="DefaultParagraphFont"/>
    <w:link w:val="Signature"/>
    <w:uiPriority w:val="7"/>
    <w:rsid w:val="009B3BD5"/>
    <w:rPr>
      <w:rFonts w:eastAsiaTheme="minorHAnsi"/>
      <w:b/>
      <w:bCs/>
      <w:color w:val="595959" w:themeColor="text1" w:themeTint="A6"/>
      <w:kern w:val="20"/>
      <w:szCs w:val="20"/>
    </w:rPr>
  </w:style>
  <w:style w:type="paragraph" w:customStyle="1" w:styleId="ContactInfo">
    <w:name w:val="Contact Info"/>
    <w:basedOn w:val="Normal"/>
    <w:uiPriority w:val="10"/>
    <w:rsid w:val="009C28ED"/>
    <w:pPr>
      <w:spacing w:before="120" w:after="120"/>
    </w:pPr>
    <w:rPr>
      <w:rFonts w:asciiTheme="majorHAnsi" w:eastAsiaTheme="minorHAnsi" w:hAnsiTheme="majorHAnsi"/>
      <w:kern w:val="20"/>
    </w:rPr>
  </w:style>
  <w:style w:type="paragraph" w:styleId="Title">
    <w:name w:val="Title"/>
    <w:basedOn w:val="Normal"/>
    <w:next w:val="Normal"/>
    <w:link w:val="TitleChar"/>
    <w:autoRedefine/>
    <w:uiPriority w:val="10"/>
    <w:qFormat/>
    <w:rsid w:val="00110EE8"/>
    <w:pPr>
      <w:spacing w:before="0" w:after="0" w:line="360" w:lineRule="auto"/>
      <w:jc w:val="center"/>
    </w:pPr>
    <w:rPr>
      <w:rFonts w:asciiTheme="majorHAnsi" w:eastAsiaTheme="majorEastAsia" w:hAnsiTheme="majorHAnsi" w:cstheme="majorBidi"/>
      <w:b/>
      <w:caps/>
      <w:color w:val="003C72"/>
      <w:spacing w:val="10"/>
      <w:sz w:val="48"/>
      <w:szCs w:val="48"/>
    </w:rPr>
  </w:style>
  <w:style w:type="character" w:customStyle="1" w:styleId="TitleChar">
    <w:name w:val="Title Char"/>
    <w:basedOn w:val="DefaultParagraphFont"/>
    <w:link w:val="Title"/>
    <w:uiPriority w:val="10"/>
    <w:rsid w:val="00110EE8"/>
    <w:rPr>
      <w:rFonts w:asciiTheme="majorHAnsi" w:eastAsiaTheme="majorEastAsia" w:hAnsiTheme="majorHAnsi" w:cstheme="majorBidi"/>
      <w:b/>
      <w:caps/>
      <w:color w:val="003C72"/>
      <w:spacing w:val="10"/>
      <w:sz w:val="48"/>
      <w:szCs w:val="48"/>
      <w:lang w:val="en-GB"/>
    </w:rPr>
  </w:style>
  <w:style w:type="table" w:styleId="GridTable1Light-Accent2">
    <w:name w:val="Grid Table 1 Light Accent 2"/>
    <w:basedOn w:val="TableNormal"/>
    <w:uiPriority w:val="46"/>
    <w:rsid w:val="00F405F8"/>
    <w:pPr>
      <w:spacing w:before="120" w:after="120"/>
      <w:contextualSpacing/>
    </w:pPr>
    <w:rPr>
      <w:sz w:val="22"/>
      <w:szCs w:val="22"/>
    </w:rPr>
    <w:tblPr>
      <w:tblStyleRowBandSize w:val="1"/>
      <w:tblStyleColBandSize w:val="1"/>
      <w:tblBorders>
        <w:top w:val="single" w:sz="4" w:space="0" w:color="60B3FF" w:themeColor="accent2" w:themeTint="66"/>
        <w:left w:val="single" w:sz="4" w:space="0" w:color="60B3FF" w:themeColor="accent2" w:themeTint="66"/>
        <w:bottom w:val="single" w:sz="4" w:space="0" w:color="60B3FF" w:themeColor="accent2" w:themeTint="66"/>
        <w:right w:val="single" w:sz="4" w:space="0" w:color="60B3FF" w:themeColor="accent2" w:themeTint="66"/>
        <w:insideH w:val="single" w:sz="4" w:space="0" w:color="60B3FF" w:themeColor="accent2" w:themeTint="66"/>
        <w:insideV w:val="single" w:sz="4" w:space="0" w:color="60B3FF" w:themeColor="accent2" w:themeTint="66"/>
      </w:tblBorders>
    </w:tblPr>
    <w:tblStylePr w:type="firstRow">
      <w:rPr>
        <w:b/>
        <w:bCs/>
      </w:rPr>
      <w:tblPr/>
      <w:tcPr>
        <w:tcBorders>
          <w:bottom w:val="single" w:sz="12" w:space="0" w:color="118EFF" w:themeColor="accent2" w:themeTint="99"/>
        </w:tcBorders>
      </w:tcPr>
    </w:tblStylePr>
    <w:tblStylePr w:type="lastRow">
      <w:rPr>
        <w:b/>
        <w:bCs/>
      </w:rPr>
      <w:tblPr/>
      <w:tcPr>
        <w:tcBorders>
          <w:top w:val="double" w:sz="2" w:space="0" w:color="118EFF" w:themeColor="accent2" w:themeTint="99"/>
        </w:tcBorders>
      </w:tcPr>
    </w:tblStylePr>
    <w:tblStylePr w:type="firstCol">
      <w:rPr>
        <w:b/>
        <w:bCs/>
      </w:rPr>
    </w:tblStylePr>
    <w:tblStylePr w:type="lastCol">
      <w:rPr>
        <w:b/>
        <w:bCs/>
      </w:rPr>
    </w:tblStylePr>
  </w:style>
  <w:style w:type="paragraph" w:styleId="Header">
    <w:name w:val="header"/>
    <w:basedOn w:val="Normal"/>
    <w:link w:val="HeaderChar"/>
    <w:uiPriority w:val="99"/>
    <w:rsid w:val="00376205"/>
    <w:pPr>
      <w:tabs>
        <w:tab w:val="center" w:pos="4680"/>
        <w:tab w:val="right" w:pos="9360"/>
      </w:tabs>
    </w:pPr>
  </w:style>
  <w:style w:type="character" w:customStyle="1" w:styleId="HeaderChar">
    <w:name w:val="Header Char"/>
    <w:basedOn w:val="DefaultParagraphFont"/>
    <w:link w:val="Header"/>
    <w:uiPriority w:val="99"/>
    <w:rsid w:val="00C067BD"/>
  </w:style>
  <w:style w:type="paragraph" w:styleId="Footer">
    <w:name w:val="footer"/>
    <w:basedOn w:val="Normal"/>
    <w:link w:val="FooterChar"/>
    <w:uiPriority w:val="99"/>
    <w:rsid w:val="00376205"/>
    <w:pPr>
      <w:tabs>
        <w:tab w:val="center" w:pos="4680"/>
        <w:tab w:val="right" w:pos="9360"/>
      </w:tabs>
    </w:pPr>
  </w:style>
  <w:style w:type="character" w:customStyle="1" w:styleId="FooterChar">
    <w:name w:val="Footer Char"/>
    <w:basedOn w:val="DefaultParagraphFont"/>
    <w:link w:val="Footer"/>
    <w:uiPriority w:val="99"/>
    <w:rsid w:val="00C067BD"/>
  </w:style>
  <w:style w:type="table" w:styleId="TableGrid">
    <w:name w:val="Table Grid"/>
    <w:basedOn w:val="TableNormal"/>
    <w:uiPriority w:val="39"/>
    <w:rsid w:val="00810A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10A41"/>
    <w:rPr>
      <w:color w:val="808080"/>
    </w:rPr>
  </w:style>
  <w:style w:type="paragraph" w:customStyle="1" w:styleId="RecipientName">
    <w:name w:val="Recipient Name"/>
    <w:basedOn w:val="Normal"/>
    <w:next w:val="Normal"/>
    <w:rsid w:val="00145359"/>
    <w:pPr>
      <w:spacing w:after="0"/>
    </w:pPr>
    <w:rPr>
      <w:b/>
    </w:rPr>
  </w:style>
  <w:style w:type="paragraph" w:customStyle="1" w:styleId="Address">
    <w:name w:val="Address"/>
    <w:basedOn w:val="Normal"/>
    <w:next w:val="Normal"/>
    <w:rsid w:val="00145359"/>
    <w:pPr>
      <w:spacing w:after="480"/>
    </w:pPr>
  </w:style>
  <w:style w:type="paragraph" w:styleId="Date">
    <w:name w:val="Date"/>
    <w:basedOn w:val="Normal"/>
    <w:next w:val="Normal"/>
    <w:link w:val="DateChar"/>
    <w:uiPriority w:val="99"/>
    <w:rsid w:val="00145359"/>
    <w:pPr>
      <w:spacing w:after="600"/>
    </w:pPr>
  </w:style>
  <w:style w:type="character" w:customStyle="1" w:styleId="DateChar">
    <w:name w:val="Date Char"/>
    <w:basedOn w:val="DefaultParagraphFont"/>
    <w:link w:val="Date"/>
    <w:uiPriority w:val="99"/>
    <w:rsid w:val="00145359"/>
  </w:style>
  <w:style w:type="paragraph" w:styleId="BodyText">
    <w:name w:val="Body Text"/>
    <w:basedOn w:val="Normal"/>
    <w:link w:val="BodyTextChar"/>
    <w:uiPriority w:val="1"/>
    <w:rsid w:val="00A03344"/>
    <w:pPr>
      <w:widowControl w:val="0"/>
      <w:autoSpaceDE w:val="0"/>
      <w:autoSpaceDN w:val="0"/>
      <w:spacing w:after="0"/>
    </w:pPr>
    <w:rPr>
      <w:rFonts w:ascii="Arial" w:eastAsia="Arial" w:hAnsi="Arial" w:cs="Arial"/>
      <w:lang w:eastAsia="en-GB" w:bidi="en-GB"/>
    </w:rPr>
  </w:style>
  <w:style w:type="character" w:customStyle="1" w:styleId="BodyTextChar">
    <w:name w:val="Body Text Char"/>
    <w:basedOn w:val="DefaultParagraphFont"/>
    <w:link w:val="BodyText"/>
    <w:uiPriority w:val="1"/>
    <w:rsid w:val="00A03344"/>
    <w:rPr>
      <w:rFonts w:ascii="Arial" w:eastAsia="Arial" w:hAnsi="Arial" w:cs="Arial"/>
      <w:sz w:val="20"/>
      <w:szCs w:val="20"/>
      <w:lang w:val="en-GB" w:eastAsia="en-GB" w:bidi="en-GB"/>
    </w:rPr>
  </w:style>
  <w:style w:type="character" w:styleId="Hyperlink">
    <w:name w:val="Hyperlink"/>
    <w:basedOn w:val="DefaultParagraphFont"/>
    <w:uiPriority w:val="99"/>
    <w:unhideWhenUsed/>
    <w:rsid w:val="00A03344"/>
    <w:rPr>
      <w:color w:val="FDC300" w:themeColor="hyperlink"/>
      <w:u w:val="single"/>
    </w:rPr>
  </w:style>
  <w:style w:type="character" w:styleId="UnresolvedMention">
    <w:name w:val="Unresolved Mention"/>
    <w:basedOn w:val="DefaultParagraphFont"/>
    <w:uiPriority w:val="99"/>
    <w:semiHidden/>
    <w:rsid w:val="00A03344"/>
    <w:rPr>
      <w:color w:val="605E5C"/>
      <w:shd w:val="clear" w:color="auto" w:fill="E1DFDD"/>
    </w:rPr>
  </w:style>
  <w:style w:type="character" w:customStyle="1" w:styleId="Heading3Char">
    <w:name w:val="Heading 3 Char"/>
    <w:basedOn w:val="DefaultParagraphFont"/>
    <w:link w:val="Heading3"/>
    <w:uiPriority w:val="9"/>
    <w:semiHidden/>
    <w:rsid w:val="00EF1642"/>
    <w:rPr>
      <w:caps/>
      <w:color w:val="001D38" w:themeColor="accent1" w:themeShade="7F"/>
      <w:spacing w:val="15"/>
    </w:rPr>
  </w:style>
  <w:style w:type="character" w:customStyle="1" w:styleId="Heading4Char">
    <w:name w:val="Heading 4 Char"/>
    <w:basedOn w:val="DefaultParagraphFont"/>
    <w:link w:val="Heading4"/>
    <w:uiPriority w:val="9"/>
    <w:semiHidden/>
    <w:rsid w:val="00EF1642"/>
    <w:rPr>
      <w:caps/>
      <w:color w:val="002C55" w:themeColor="accent1" w:themeShade="BF"/>
      <w:spacing w:val="10"/>
    </w:rPr>
  </w:style>
  <w:style w:type="character" w:customStyle="1" w:styleId="Heading5Char">
    <w:name w:val="Heading 5 Char"/>
    <w:basedOn w:val="DefaultParagraphFont"/>
    <w:link w:val="Heading5"/>
    <w:uiPriority w:val="9"/>
    <w:semiHidden/>
    <w:rsid w:val="00EF1642"/>
    <w:rPr>
      <w:caps/>
      <w:color w:val="002C55" w:themeColor="accent1" w:themeShade="BF"/>
      <w:spacing w:val="10"/>
    </w:rPr>
  </w:style>
  <w:style w:type="character" w:customStyle="1" w:styleId="Heading6Char">
    <w:name w:val="Heading 6 Char"/>
    <w:basedOn w:val="DefaultParagraphFont"/>
    <w:link w:val="Heading6"/>
    <w:uiPriority w:val="9"/>
    <w:semiHidden/>
    <w:rsid w:val="00EF1642"/>
    <w:rPr>
      <w:caps/>
      <w:color w:val="002C55" w:themeColor="accent1" w:themeShade="BF"/>
      <w:spacing w:val="10"/>
    </w:rPr>
  </w:style>
  <w:style w:type="character" w:customStyle="1" w:styleId="Heading7Char">
    <w:name w:val="Heading 7 Char"/>
    <w:basedOn w:val="DefaultParagraphFont"/>
    <w:link w:val="Heading7"/>
    <w:uiPriority w:val="9"/>
    <w:semiHidden/>
    <w:rsid w:val="00EF1642"/>
    <w:rPr>
      <w:caps/>
      <w:color w:val="002C55" w:themeColor="accent1" w:themeShade="BF"/>
      <w:spacing w:val="10"/>
    </w:rPr>
  </w:style>
  <w:style w:type="character" w:customStyle="1" w:styleId="Heading8Char">
    <w:name w:val="Heading 8 Char"/>
    <w:basedOn w:val="DefaultParagraphFont"/>
    <w:link w:val="Heading8"/>
    <w:uiPriority w:val="9"/>
    <w:semiHidden/>
    <w:rsid w:val="00EF1642"/>
    <w:rPr>
      <w:caps/>
      <w:spacing w:val="10"/>
      <w:sz w:val="18"/>
      <w:szCs w:val="18"/>
    </w:rPr>
  </w:style>
  <w:style w:type="character" w:customStyle="1" w:styleId="Heading9Char">
    <w:name w:val="Heading 9 Char"/>
    <w:basedOn w:val="DefaultParagraphFont"/>
    <w:link w:val="Heading9"/>
    <w:uiPriority w:val="9"/>
    <w:semiHidden/>
    <w:rsid w:val="00EF1642"/>
    <w:rPr>
      <w:i/>
      <w:iCs/>
      <w:caps/>
      <w:spacing w:val="10"/>
      <w:sz w:val="18"/>
      <w:szCs w:val="18"/>
    </w:rPr>
  </w:style>
  <w:style w:type="paragraph" w:styleId="Caption">
    <w:name w:val="caption"/>
    <w:basedOn w:val="Normal"/>
    <w:next w:val="Normal"/>
    <w:uiPriority w:val="35"/>
    <w:semiHidden/>
    <w:unhideWhenUsed/>
    <w:qFormat/>
    <w:rsid w:val="00EF1642"/>
    <w:rPr>
      <w:b/>
      <w:bCs/>
      <w:color w:val="002C55" w:themeColor="accent1" w:themeShade="BF"/>
      <w:sz w:val="16"/>
      <w:szCs w:val="16"/>
    </w:rPr>
  </w:style>
  <w:style w:type="paragraph" w:styleId="Subtitle">
    <w:name w:val="Subtitle"/>
    <w:basedOn w:val="Normal"/>
    <w:next w:val="Normal"/>
    <w:link w:val="SubtitleChar"/>
    <w:autoRedefine/>
    <w:uiPriority w:val="11"/>
    <w:qFormat/>
    <w:rsid w:val="00EB11B2"/>
    <w:pPr>
      <w:spacing w:before="0" w:after="500" w:line="240" w:lineRule="auto"/>
    </w:pPr>
    <w:rPr>
      <w:caps/>
      <w:color w:val="003C72"/>
      <w:spacing w:val="10"/>
      <w:sz w:val="22"/>
      <w:szCs w:val="21"/>
    </w:rPr>
  </w:style>
  <w:style w:type="character" w:customStyle="1" w:styleId="SubtitleChar">
    <w:name w:val="Subtitle Char"/>
    <w:basedOn w:val="DefaultParagraphFont"/>
    <w:link w:val="Subtitle"/>
    <w:uiPriority w:val="11"/>
    <w:rsid w:val="00EB11B2"/>
    <w:rPr>
      <w:caps/>
      <w:color w:val="003C72"/>
      <w:spacing w:val="10"/>
      <w:sz w:val="22"/>
      <w:szCs w:val="21"/>
    </w:rPr>
  </w:style>
  <w:style w:type="character" w:styleId="Strong">
    <w:name w:val="Strong"/>
    <w:uiPriority w:val="22"/>
    <w:qFormat/>
    <w:rsid w:val="00EF1642"/>
    <w:rPr>
      <w:b/>
      <w:bCs/>
    </w:rPr>
  </w:style>
  <w:style w:type="character" w:styleId="Emphasis">
    <w:name w:val="Emphasis"/>
    <w:uiPriority w:val="20"/>
    <w:rsid w:val="00EF1642"/>
    <w:rPr>
      <w:caps/>
      <w:color w:val="001D38" w:themeColor="accent1" w:themeShade="7F"/>
      <w:spacing w:val="5"/>
    </w:rPr>
  </w:style>
  <w:style w:type="paragraph" w:styleId="NoSpacing">
    <w:name w:val="No Spacing"/>
    <w:uiPriority w:val="1"/>
    <w:rsid w:val="00EF1642"/>
    <w:pPr>
      <w:spacing w:after="0" w:line="240" w:lineRule="auto"/>
    </w:pPr>
  </w:style>
  <w:style w:type="paragraph" w:styleId="Quote">
    <w:name w:val="Quote"/>
    <w:basedOn w:val="Normal"/>
    <w:next w:val="Normal"/>
    <w:link w:val="QuoteChar"/>
    <w:uiPriority w:val="29"/>
    <w:qFormat/>
    <w:rsid w:val="00EF1642"/>
    <w:rPr>
      <w:i/>
      <w:iCs/>
      <w:sz w:val="24"/>
      <w:szCs w:val="24"/>
    </w:rPr>
  </w:style>
  <w:style w:type="character" w:customStyle="1" w:styleId="QuoteChar">
    <w:name w:val="Quote Char"/>
    <w:basedOn w:val="DefaultParagraphFont"/>
    <w:link w:val="Quote"/>
    <w:uiPriority w:val="29"/>
    <w:rsid w:val="00EF1642"/>
    <w:rPr>
      <w:i/>
      <w:iCs/>
      <w:sz w:val="24"/>
      <w:szCs w:val="24"/>
    </w:rPr>
  </w:style>
  <w:style w:type="paragraph" w:styleId="IntenseQuote">
    <w:name w:val="Intense Quote"/>
    <w:basedOn w:val="Normal"/>
    <w:next w:val="Normal"/>
    <w:link w:val="IntenseQuoteChar"/>
    <w:uiPriority w:val="30"/>
    <w:qFormat/>
    <w:rsid w:val="00EF1642"/>
    <w:pPr>
      <w:spacing w:before="240" w:after="240" w:line="240" w:lineRule="auto"/>
      <w:ind w:left="1080" w:right="1080"/>
      <w:jc w:val="center"/>
    </w:pPr>
    <w:rPr>
      <w:color w:val="003C72" w:themeColor="accent1"/>
      <w:sz w:val="24"/>
      <w:szCs w:val="24"/>
    </w:rPr>
  </w:style>
  <w:style w:type="character" w:customStyle="1" w:styleId="IntenseQuoteChar">
    <w:name w:val="Intense Quote Char"/>
    <w:basedOn w:val="DefaultParagraphFont"/>
    <w:link w:val="IntenseQuote"/>
    <w:uiPriority w:val="30"/>
    <w:rsid w:val="00EF1642"/>
    <w:rPr>
      <w:color w:val="003C72" w:themeColor="accent1"/>
      <w:sz w:val="24"/>
      <w:szCs w:val="24"/>
    </w:rPr>
  </w:style>
  <w:style w:type="character" w:styleId="SubtleEmphasis">
    <w:name w:val="Subtle Emphasis"/>
    <w:uiPriority w:val="19"/>
    <w:rsid w:val="00EF1642"/>
    <w:rPr>
      <w:i/>
      <w:iCs/>
      <w:color w:val="001D38" w:themeColor="accent1" w:themeShade="7F"/>
    </w:rPr>
  </w:style>
  <w:style w:type="character" w:styleId="IntenseEmphasis">
    <w:name w:val="Intense Emphasis"/>
    <w:uiPriority w:val="21"/>
    <w:rsid w:val="00EF1642"/>
    <w:rPr>
      <w:b/>
      <w:bCs/>
      <w:caps/>
      <w:color w:val="001D38" w:themeColor="accent1" w:themeShade="7F"/>
      <w:spacing w:val="10"/>
    </w:rPr>
  </w:style>
  <w:style w:type="character" w:styleId="SubtleReference">
    <w:name w:val="Subtle Reference"/>
    <w:uiPriority w:val="31"/>
    <w:qFormat/>
    <w:rsid w:val="00EF1642"/>
    <w:rPr>
      <w:b/>
      <w:bCs/>
      <w:color w:val="003C72" w:themeColor="accent1"/>
    </w:rPr>
  </w:style>
  <w:style w:type="character" w:styleId="IntenseReference">
    <w:name w:val="Intense Reference"/>
    <w:uiPriority w:val="32"/>
    <w:qFormat/>
    <w:rsid w:val="00EF1642"/>
    <w:rPr>
      <w:b/>
      <w:bCs/>
      <w:i/>
      <w:iCs/>
      <w:caps/>
      <w:color w:val="003C72" w:themeColor="accent1"/>
    </w:rPr>
  </w:style>
  <w:style w:type="character" w:styleId="BookTitle">
    <w:name w:val="Book Title"/>
    <w:aliases w:val="Title 2"/>
    <w:uiPriority w:val="33"/>
    <w:qFormat/>
    <w:rsid w:val="00BD08E0"/>
    <w:rPr>
      <w:rFonts w:asciiTheme="majorHAnsi" w:hAnsiTheme="majorHAnsi"/>
      <w:b/>
      <w:bCs/>
      <w:i w:val="0"/>
      <w:iCs/>
      <w:color w:val="003C72"/>
      <w:spacing w:val="0"/>
      <w:sz w:val="36"/>
    </w:rPr>
  </w:style>
  <w:style w:type="paragraph" w:styleId="TOCHeading">
    <w:name w:val="TOC Heading"/>
    <w:basedOn w:val="Heading1"/>
    <w:next w:val="Normal"/>
    <w:uiPriority w:val="39"/>
    <w:semiHidden/>
    <w:unhideWhenUsed/>
    <w:qFormat/>
    <w:rsid w:val="00EF1642"/>
    <w:pPr>
      <w:outlineLvl w:val="9"/>
    </w:pPr>
  </w:style>
  <w:style w:type="paragraph" w:styleId="ListParagraph">
    <w:name w:val="List Paragraph"/>
    <w:aliases w:val="Creds Title,Bullet List,FooterText,List Paragraph1,列?出?段?落,Parágrafo da Lista,Dot pt,F5 List Paragraph,Indicator Text,Bullet 1,No Spacing1,List Paragraph Char Char Char,Colorful List - Accent 11,Numbered Para 1,Bullet Points"/>
    <w:basedOn w:val="Normal"/>
    <w:link w:val="ListParagraphChar"/>
    <w:autoRedefine/>
    <w:uiPriority w:val="34"/>
    <w:qFormat/>
    <w:rsid w:val="004F7410"/>
    <w:pPr>
      <w:numPr>
        <w:numId w:val="19"/>
      </w:numPr>
      <w:spacing w:before="0" w:after="160" w:line="259" w:lineRule="auto"/>
      <w:contextualSpacing/>
      <w:jc w:val="both"/>
    </w:pPr>
  </w:style>
  <w:style w:type="character" w:styleId="CommentReference">
    <w:name w:val="annotation reference"/>
    <w:basedOn w:val="DefaultParagraphFont"/>
    <w:uiPriority w:val="99"/>
    <w:semiHidden/>
    <w:unhideWhenUsed/>
    <w:rsid w:val="007C4779"/>
    <w:rPr>
      <w:sz w:val="16"/>
      <w:szCs w:val="16"/>
    </w:rPr>
  </w:style>
  <w:style w:type="paragraph" w:styleId="CommentText">
    <w:name w:val="annotation text"/>
    <w:basedOn w:val="Normal"/>
    <w:link w:val="CommentTextChar"/>
    <w:uiPriority w:val="99"/>
    <w:unhideWhenUsed/>
    <w:rsid w:val="007C4779"/>
    <w:pPr>
      <w:spacing w:line="240" w:lineRule="auto"/>
    </w:pPr>
  </w:style>
  <w:style w:type="character" w:customStyle="1" w:styleId="CommentTextChar">
    <w:name w:val="Comment Text Char"/>
    <w:basedOn w:val="DefaultParagraphFont"/>
    <w:link w:val="CommentText"/>
    <w:uiPriority w:val="99"/>
    <w:rsid w:val="007C4779"/>
  </w:style>
  <w:style w:type="paragraph" w:styleId="CommentSubject">
    <w:name w:val="annotation subject"/>
    <w:basedOn w:val="CommentText"/>
    <w:next w:val="CommentText"/>
    <w:link w:val="CommentSubjectChar"/>
    <w:uiPriority w:val="99"/>
    <w:semiHidden/>
    <w:unhideWhenUsed/>
    <w:rsid w:val="007C4779"/>
    <w:rPr>
      <w:b/>
      <w:bCs/>
    </w:rPr>
  </w:style>
  <w:style w:type="character" w:customStyle="1" w:styleId="CommentSubjectChar">
    <w:name w:val="Comment Subject Char"/>
    <w:basedOn w:val="CommentTextChar"/>
    <w:link w:val="CommentSubject"/>
    <w:uiPriority w:val="99"/>
    <w:semiHidden/>
    <w:rsid w:val="007C4779"/>
    <w:rPr>
      <w:b/>
      <w:bCs/>
    </w:rPr>
  </w:style>
  <w:style w:type="paragraph" w:styleId="BalloonText">
    <w:name w:val="Balloon Text"/>
    <w:basedOn w:val="Normal"/>
    <w:link w:val="BalloonTextChar"/>
    <w:uiPriority w:val="99"/>
    <w:semiHidden/>
    <w:unhideWhenUsed/>
    <w:rsid w:val="007C4779"/>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4779"/>
    <w:rPr>
      <w:rFonts w:ascii="Segoe UI" w:hAnsi="Segoe UI" w:cs="Segoe UI"/>
      <w:sz w:val="18"/>
      <w:szCs w:val="18"/>
    </w:rPr>
  </w:style>
  <w:style w:type="character" w:customStyle="1" w:styleId="ListParagraphChar">
    <w:name w:val="List Paragraph Char"/>
    <w:aliases w:val="Creds Title Char,Bullet List Char,FooterText Char,List Paragraph1 Char,列?出?段?落 Char,Parágrafo da Lista Char,Dot pt Char,F5 List Paragraph Char,Indicator Text Char,Bullet 1 Char,No Spacing1 Char,List Paragraph Char Char Char Char"/>
    <w:link w:val="ListParagraph"/>
    <w:uiPriority w:val="34"/>
    <w:qFormat/>
    <w:locked/>
    <w:rsid w:val="004F7410"/>
    <w:rPr>
      <w:lang w:val="en-GB"/>
    </w:rPr>
  </w:style>
  <w:style w:type="character" w:styleId="FootnoteReference">
    <w:name w:val="footnote reference"/>
    <w:basedOn w:val="DefaultParagraphFont"/>
    <w:uiPriority w:val="99"/>
    <w:semiHidden/>
    <w:unhideWhenUsed/>
    <w:rsid w:val="00DE3BE1"/>
    <w:rPr>
      <w:vertAlign w:val="superscript"/>
    </w:rPr>
  </w:style>
  <w:style w:type="paragraph" w:styleId="FootnoteText">
    <w:name w:val="footnote text"/>
    <w:basedOn w:val="Normal"/>
    <w:link w:val="FootnoteTextChar"/>
    <w:uiPriority w:val="99"/>
    <w:semiHidden/>
    <w:unhideWhenUsed/>
    <w:rsid w:val="00DE3BE1"/>
    <w:pPr>
      <w:spacing w:before="0" w:after="0" w:line="240" w:lineRule="auto"/>
    </w:pPr>
  </w:style>
  <w:style w:type="character" w:customStyle="1" w:styleId="FootnoteTextChar">
    <w:name w:val="Footnote Text Char"/>
    <w:basedOn w:val="DefaultParagraphFont"/>
    <w:link w:val="FootnoteText"/>
    <w:uiPriority w:val="99"/>
    <w:semiHidden/>
    <w:rsid w:val="00DE3BE1"/>
    <w:rPr>
      <w:lang w:val="en-GB"/>
    </w:rPr>
  </w:style>
  <w:style w:type="character" w:customStyle="1" w:styleId="cf01">
    <w:name w:val="cf01"/>
    <w:basedOn w:val="DefaultParagraphFont"/>
    <w:rsid w:val="00A51FD3"/>
    <w:rPr>
      <w:rFonts w:ascii="Segoe UI" w:hAnsi="Segoe UI" w:cs="Segoe UI" w:hint="default"/>
      <w:sz w:val="18"/>
      <w:szCs w:val="18"/>
    </w:rPr>
  </w:style>
  <w:style w:type="paragraph" w:styleId="Revision">
    <w:name w:val="Revision"/>
    <w:hidden/>
    <w:uiPriority w:val="99"/>
    <w:semiHidden/>
    <w:rsid w:val="00846BFD"/>
    <w:pPr>
      <w:spacing w:before="0" w:after="0" w:line="240" w:lineRule="auto"/>
    </w:pPr>
    <w:rPr>
      <w:lang w:val="en-GB"/>
    </w:rPr>
  </w:style>
  <w:style w:type="paragraph" w:customStyle="1" w:styleId="Default">
    <w:name w:val="Default"/>
    <w:rsid w:val="00213BBF"/>
    <w:pPr>
      <w:autoSpaceDE w:val="0"/>
      <w:autoSpaceDN w:val="0"/>
      <w:adjustRightInd w:val="0"/>
      <w:spacing w:before="0" w:after="0" w:line="240" w:lineRule="auto"/>
    </w:pPr>
    <w:rPr>
      <w:rFonts w:ascii="Arial" w:hAnsi="Arial" w:cs="Arial"/>
      <w:color w:val="000000"/>
      <w:sz w:val="24"/>
      <w:szCs w:val="24"/>
      <w:lang w:val="en-GB"/>
    </w:rPr>
  </w:style>
  <w:style w:type="table" w:customStyle="1" w:styleId="TableGrid1">
    <w:name w:val="Table Grid1"/>
    <w:basedOn w:val="TableNormal"/>
    <w:next w:val="TableGrid"/>
    <w:uiPriority w:val="39"/>
    <w:rsid w:val="00BE6486"/>
    <w:rPr>
      <w:rFonts w:eastAsia="MS P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f0">
    <w:name w:val="pf0"/>
    <w:basedOn w:val="Normal"/>
    <w:rsid w:val="00371E89"/>
    <w:pPr>
      <w:spacing w:beforeAutospacing="1" w:after="100" w:afterAutospacing="1"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FE5C20"/>
    <w:pPr>
      <w:spacing w:before="0" w:after="0" w:line="240" w:lineRule="auto"/>
    </w:pPr>
  </w:style>
  <w:style w:type="character" w:customStyle="1" w:styleId="EndnoteTextChar">
    <w:name w:val="Endnote Text Char"/>
    <w:basedOn w:val="DefaultParagraphFont"/>
    <w:link w:val="EndnoteText"/>
    <w:uiPriority w:val="99"/>
    <w:semiHidden/>
    <w:rsid w:val="00FE5C20"/>
    <w:rPr>
      <w:lang w:val="en-GB"/>
    </w:rPr>
  </w:style>
  <w:style w:type="character" w:styleId="EndnoteReference">
    <w:name w:val="endnote reference"/>
    <w:basedOn w:val="DefaultParagraphFont"/>
    <w:uiPriority w:val="99"/>
    <w:semiHidden/>
    <w:unhideWhenUsed/>
    <w:rsid w:val="00FE5C20"/>
    <w:rPr>
      <w:vertAlign w:val="superscript"/>
    </w:rPr>
  </w:style>
  <w:style w:type="paragraph" w:customStyle="1" w:styleId="BodyCopy">
    <w:name w:val="Body Copy"/>
    <w:basedOn w:val="Normal"/>
    <w:rsid w:val="00D36DFA"/>
    <w:pPr>
      <w:spacing w:before="0" w:after="0" w:line="240" w:lineRule="auto"/>
    </w:pPr>
    <w:rPr>
      <w:rFonts w:ascii="Calibri" w:eastAsiaTheme="minorHAnsi" w:hAnsi="Calibri" w:cs="Calibri"/>
      <w:color w:val="000000"/>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1537">
      <w:bodyDiv w:val="1"/>
      <w:marLeft w:val="0"/>
      <w:marRight w:val="0"/>
      <w:marTop w:val="0"/>
      <w:marBottom w:val="0"/>
      <w:divBdr>
        <w:top w:val="none" w:sz="0" w:space="0" w:color="auto"/>
        <w:left w:val="none" w:sz="0" w:space="0" w:color="auto"/>
        <w:bottom w:val="none" w:sz="0" w:space="0" w:color="auto"/>
        <w:right w:val="none" w:sz="0" w:space="0" w:color="auto"/>
      </w:divBdr>
    </w:div>
    <w:div w:id="146097112">
      <w:bodyDiv w:val="1"/>
      <w:marLeft w:val="0"/>
      <w:marRight w:val="0"/>
      <w:marTop w:val="0"/>
      <w:marBottom w:val="0"/>
      <w:divBdr>
        <w:top w:val="none" w:sz="0" w:space="0" w:color="auto"/>
        <w:left w:val="none" w:sz="0" w:space="0" w:color="auto"/>
        <w:bottom w:val="none" w:sz="0" w:space="0" w:color="auto"/>
        <w:right w:val="none" w:sz="0" w:space="0" w:color="auto"/>
      </w:divBdr>
    </w:div>
    <w:div w:id="173615368">
      <w:bodyDiv w:val="1"/>
      <w:marLeft w:val="0"/>
      <w:marRight w:val="0"/>
      <w:marTop w:val="0"/>
      <w:marBottom w:val="0"/>
      <w:divBdr>
        <w:top w:val="none" w:sz="0" w:space="0" w:color="auto"/>
        <w:left w:val="none" w:sz="0" w:space="0" w:color="auto"/>
        <w:bottom w:val="none" w:sz="0" w:space="0" w:color="auto"/>
        <w:right w:val="none" w:sz="0" w:space="0" w:color="auto"/>
      </w:divBdr>
    </w:div>
    <w:div w:id="185481063">
      <w:bodyDiv w:val="1"/>
      <w:marLeft w:val="0"/>
      <w:marRight w:val="0"/>
      <w:marTop w:val="0"/>
      <w:marBottom w:val="0"/>
      <w:divBdr>
        <w:top w:val="none" w:sz="0" w:space="0" w:color="auto"/>
        <w:left w:val="none" w:sz="0" w:space="0" w:color="auto"/>
        <w:bottom w:val="none" w:sz="0" w:space="0" w:color="auto"/>
        <w:right w:val="none" w:sz="0" w:space="0" w:color="auto"/>
      </w:divBdr>
    </w:div>
    <w:div w:id="256330974">
      <w:bodyDiv w:val="1"/>
      <w:marLeft w:val="0"/>
      <w:marRight w:val="0"/>
      <w:marTop w:val="0"/>
      <w:marBottom w:val="0"/>
      <w:divBdr>
        <w:top w:val="none" w:sz="0" w:space="0" w:color="auto"/>
        <w:left w:val="none" w:sz="0" w:space="0" w:color="auto"/>
        <w:bottom w:val="none" w:sz="0" w:space="0" w:color="auto"/>
        <w:right w:val="none" w:sz="0" w:space="0" w:color="auto"/>
      </w:divBdr>
      <w:divsChild>
        <w:div w:id="217136574">
          <w:marLeft w:val="360"/>
          <w:marRight w:val="0"/>
          <w:marTop w:val="200"/>
          <w:marBottom w:val="0"/>
          <w:divBdr>
            <w:top w:val="none" w:sz="0" w:space="0" w:color="auto"/>
            <w:left w:val="none" w:sz="0" w:space="0" w:color="auto"/>
            <w:bottom w:val="none" w:sz="0" w:space="0" w:color="auto"/>
            <w:right w:val="none" w:sz="0" w:space="0" w:color="auto"/>
          </w:divBdr>
        </w:div>
        <w:div w:id="562059475">
          <w:marLeft w:val="360"/>
          <w:marRight w:val="0"/>
          <w:marTop w:val="200"/>
          <w:marBottom w:val="0"/>
          <w:divBdr>
            <w:top w:val="none" w:sz="0" w:space="0" w:color="auto"/>
            <w:left w:val="none" w:sz="0" w:space="0" w:color="auto"/>
            <w:bottom w:val="none" w:sz="0" w:space="0" w:color="auto"/>
            <w:right w:val="none" w:sz="0" w:space="0" w:color="auto"/>
          </w:divBdr>
        </w:div>
        <w:div w:id="756097548">
          <w:marLeft w:val="360"/>
          <w:marRight w:val="0"/>
          <w:marTop w:val="200"/>
          <w:marBottom w:val="0"/>
          <w:divBdr>
            <w:top w:val="none" w:sz="0" w:space="0" w:color="auto"/>
            <w:left w:val="none" w:sz="0" w:space="0" w:color="auto"/>
            <w:bottom w:val="none" w:sz="0" w:space="0" w:color="auto"/>
            <w:right w:val="none" w:sz="0" w:space="0" w:color="auto"/>
          </w:divBdr>
        </w:div>
        <w:div w:id="1031345515">
          <w:marLeft w:val="360"/>
          <w:marRight w:val="0"/>
          <w:marTop w:val="200"/>
          <w:marBottom w:val="0"/>
          <w:divBdr>
            <w:top w:val="none" w:sz="0" w:space="0" w:color="auto"/>
            <w:left w:val="none" w:sz="0" w:space="0" w:color="auto"/>
            <w:bottom w:val="none" w:sz="0" w:space="0" w:color="auto"/>
            <w:right w:val="none" w:sz="0" w:space="0" w:color="auto"/>
          </w:divBdr>
        </w:div>
        <w:div w:id="1202599062">
          <w:marLeft w:val="360"/>
          <w:marRight w:val="0"/>
          <w:marTop w:val="200"/>
          <w:marBottom w:val="0"/>
          <w:divBdr>
            <w:top w:val="none" w:sz="0" w:space="0" w:color="auto"/>
            <w:left w:val="none" w:sz="0" w:space="0" w:color="auto"/>
            <w:bottom w:val="none" w:sz="0" w:space="0" w:color="auto"/>
            <w:right w:val="none" w:sz="0" w:space="0" w:color="auto"/>
          </w:divBdr>
        </w:div>
        <w:div w:id="1586718780">
          <w:marLeft w:val="360"/>
          <w:marRight w:val="0"/>
          <w:marTop w:val="200"/>
          <w:marBottom w:val="0"/>
          <w:divBdr>
            <w:top w:val="none" w:sz="0" w:space="0" w:color="auto"/>
            <w:left w:val="none" w:sz="0" w:space="0" w:color="auto"/>
            <w:bottom w:val="none" w:sz="0" w:space="0" w:color="auto"/>
            <w:right w:val="none" w:sz="0" w:space="0" w:color="auto"/>
          </w:divBdr>
        </w:div>
        <w:div w:id="1785268502">
          <w:marLeft w:val="360"/>
          <w:marRight w:val="0"/>
          <w:marTop w:val="200"/>
          <w:marBottom w:val="0"/>
          <w:divBdr>
            <w:top w:val="none" w:sz="0" w:space="0" w:color="auto"/>
            <w:left w:val="none" w:sz="0" w:space="0" w:color="auto"/>
            <w:bottom w:val="none" w:sz="0" w:space="0" w:color="auto"/>
            <w:right w:val="none" w:sz="0" w:space="0" w:color="auto"/>
          </w:divBdr>
        </w:div>
      </w:divsChild>
    </w:div>
    <w:div w:id="402223998">
      <w:bodyDiv w:val="1"/>
      <w:marLeft w:val="0"/>
      <w:marRight w:val="0"/>
      <w:marTop w:val="0"/>
      <w:marBottom w:val="0"/>
      <w:divBdr>
        <w:top w:val="none" w:sz="0" w:space="0" w:color="auto"/>
        <w:left w:val="none" w:sz="0" w:space="0" w:color="auto"/>
        <w:bottom w:val="none" w:sz="0" w:space="0" w:color="auto"/>
        <w:right w:val="none" w:sz="0" w:space="0" w:color="auto"/>
      </w:divBdr>
    </w:div>
    <w:div w:id="404764407">
      <w:bodyDiv w:val="1"/>
      <w:marLeft w:val="0"/>
      <w:marRight w:val="0"/>
      <w:marTop w:val="0"/>
      <w:marBottom w:val="0"/>
      <w:divBdr>
        <w:top w:val="none" w:sz="0" w:space="0" w:color="auto"/>
        <w:left w:val="none" w:sz="0" w:space="0" w:color="auto"/>
        <w:bottom w:val="none" w:sz="0" w:space="0" w:color="auto"/>
        <w:right w:val="none" w:sz="0" w:space="0" w:color="auto"/>
      </w:divBdr>
    </w:div>
    <w:div w:id="755789490">
      <w:bodyDiv w:val="1"/>
      <w:marLeft w:val="0"/>
      <w:marRight w:val="0"/>
      <w:marTop w:val="0"/>
      <w:marBottom w:val="0"/>
      <w:divBdr>
        <w:top w:val="none" w:sz="0" w:space="0" w:color="auto"/>
        <w:left w:val="none" w:sz="0" w:space="0" w:color="auto"/>
        <w:bottom w:val="none" w:sz="0" w:space="0" w:color="auto"/>
        <w:right w:val="none" w:sz="0" w:space="0" w:color="auto"/>
      </w:divBdr>
    </w:div>
    <w:div w:id="874343140">
      <w:bodyDiv w:val="1"/>
      <w:marLeft w:val="0"/>
      <w:marRight w:val="0"/>
      <w:marTop w:val="0"/>
      <w:marBottom w:val="0"/>
      <w:divBdr>
        <w:top w:val="none" w:sz="0" w:space="0" w:color="auto"/>
        <w:left w:val="none" w:sz="0" w:space="0" w:color="auto"/>
        <w:bottom w:val="none" w:sz="0" w:space="0" w:color="auto"/>
        <w:right w:val="none" w:sz="0" w:space="0" w:color="auto"/>
      </w:divBdr>
      <w:divsChild>
        <w:div w:id="737824287">
          <w:marLeft w:val="446"/>
          <w:marRight w:val="0"/>
          <w:marTop w:val="0"/>
          <w:marBottom w:val="0"/>
          <w:divBdr>
            <w:top w:val="none" w:sz="0" w:space="0" w:color="auto"/>
            <w:left w:val="none" w:sz="0" w:space="0" w:color="auto"/>
            <w:bottom w:val="none" w:sz="0" w:space="0" w:color="auto"/>
            <w:right w:val="none" w:sz="0" w:space="0" w:color="auto"/>
          </w:divBdr>
        </w:div>
        <w:div w:id="930503915">
          <w:marLeft w:val="446"/>
          <w:marRight w:val="0"/>
          <w:marTop w:val="0"/>
          <w:marBottom w:val="0"/>
          <w:divBdr>
            <w:top w:val="none" w:sz="0" w:space="0" w:color="auto"/>
            <w:left w:val="none" w:sz="0" w:space="0" w:color="auto"/>
            <w:bottom w:val="none" w:sz="0" w:space="0" w:color="auto"/>
            <w:right w:val="none" w:sz="0" w:space="0" w:color="auto"/>
          </w:divBdr>
        </w:div>
        <w:div w:id="1093819593">
          <w:marLeft w:val="446"/>
          <w:marRight w:val="0"/>
          <w:marTop w:val="0"/>
          <w:marBottom w:val="0"/>
          <w:divBdr>
            <w:top w:val="none" w:sz="0" w:space="0" w:color="auto"/>
            <w:left w:val="none" w:sz="0" w:space="0" w:color="auto"/>
            <w:bottom w:val="none" w:sz="0" w:space="0" w:color="auto"/>
            <w:right w:val="none" w:sz="0" w:space="0" w:color="auto"/>
          </w:divBdr>
        </w:div>
        <w:div w:id="1150633693">
          <w:marLeft w:val="446"/>
          <w:marRight w:val="0"/>
          <w:marTop w:val="0"/>
          <w:marBottom w:val="0"/>
          <w:divBdr>
            <w:top w:val="none" w:sz="0" w:space="0" w:color="auto"/>
            <w:left w:val="none" w:sz="0" w:space="0" w:color="auto"/>
            <w:bottom w:val="none" w:sz="0" w:space="0" w:color="auto"/>
            <w:right w:val="none" w:sz="0" w:space="0" w:color="auto"/>
          </w:divBdr>
        </w:div>
      </w:divsChild>
    </w:div>
    <w:div w:id="1121190362">
      <w:bodyDiv w:val="1"/>
      <w:marLeft w:val="0"/>
      <w:marRight w:val="0"/>
      <w:marTop w:val="0"/>
      <w:marBottom w:val="0"/>
      <w:divBdr>
        <w:top w:val="none" w:sz="0" w:space="0" w:color="auto"/>
        <w:left w:val="none" w:sz="0" w:space="0" w:color="auto"/>
        <w:bottom w:val="none" w:sz="0" w:space="0" w:color="auto"/>
        <w:right w:val="none" w:sz="0" w:space="0" w:color="auto"/>
      </w:divBdr>
    </w:div>
    <w:div w:id="1289504702">
      <w:bodyDiv w:val="1"/>
      <w:marLeft w:val="0"/>
      <w:marRight w:val="0"/>
      <w:marTop w:val="0"/>
      <w:marBottom w:val="0"/>
      <w:divBdr>
        <w:top w:val="none" w:sz="0" w:space="0" w:color="auto"/>
        <w:left w:val="none" w:sz="0" w:space="0" w:color="auto"/>
        <w:bottom w:val="none" w:sz="0" w:space="0" w:color="auto"/>
        <w:right w:val="none" w:sz="0" w:space="0" w:color="auto"/>
      </w:divBdr>
    </w:div>
    <w:div w:id="1348629279">
      <w:bodyDiv w:val="1"/>
      <w:marLeft w:val="0"/>
      <w:marRight w:val="0"/>
      <w:marTop w:val="0"/>
      <w:marBottom w:val="0"/>
      <w:divBdr>
        <w:top w:val="none" w:sz="0" w:space="0" w:color="auto"/>
        <w:left w:val="none" w:sz="0" w:space="0" w:color="auto"/>
        <w:bottom w:val="none" w:sz="0" w:space="0" w:color="auto"/>
        <w:right w:val="none" w:sz="0" w:space="0" w:color="auto"/>
      </w:divBdr>
    </w:div>
    <w:div w:id="1404988240">
      <w:bodyDiv w:val="1"/>
      <w:marLeft w:val="0"/>
      <w:marRight w:val="0"/>
      <w:marTop w:val="0"/>
      <w:marBottom w:val="0"/>
      <w:divBdr>
        <w:top w:val="none" w:sz="0" w:space="0" w:color="auto"/>
        <w:left w:val="none" w:sz="0" w:space="0" w:color="auto"/>
        <w:bottom w:val="none" w:sz="0" w:space="0" w:color="auto"/>
        <w:right w:val="none" w:sz="0" w:space="0" w:color="auto"/>
      </w:divBdr>
    </w:div>
    <w:div w:id="1743410064">
      <w:bodyDiv w:val="1"/>
      <w:marLeft w:val="0"/>
      <w:marRight w:val="0"/>
      <w:marTop w:val="0"/>
      <w:marBottom w:val="0"/>
      <w:divBdr>
        <w:top w:val="none" w:sz="0" w:space="0" w:color="auto"/>
        <w:left w:val="none" w:sz="0" w:space="0" w:color="auto"/>
        <w:bottom w:val="none" w:sz="0" w:space="0" w:color="auto"/>
        <w:right w:val="none" w:sz="0" w:space="0" w:color="auto"/>
      </w:divBdr>
      <w:divsChild>
        <w:div w:id="143278694">
          <w:marLeft w:val="360"/>
          <w:marRight w:val="0"/>
          <w:marTop w:val="200"/>
          <w:marBottom w:val="0"/>
          <w:divBdr>
            <w:top w:val="none" w:sz="0" w:space="0" w:color="auto"/>
            <w:left w:val="none" w:sz="0" w:space="0" w:color="auto"/>
            <w:bottom w:val="none" w:sz="0" w:space="0" w:color="auto"/>
            <w:right w:val="none" w:sz="0" w:space="0" w:color="auto"/>
          </w:divBdr>
        </w:div>
        <w:div w:id="203376097">
          <w:marLeft w:val="360"/>
          <w:marRight w:val="0"/>
          <w:marTop w:val="200"/>
          <w:marBottom w:val="0"/>
          <w:divBdr>
            <w:top w:val="none" w:sz="0" w:space="0" w:color="auto"/>
            <w:left w:val="none" w:sz="0" w:space="0" w:color="auto"/>
            <w:bottom w:val="none" w:sz="0" w:space="0" w:color="auto"/>
            <w:right w:val="none" w:sz="0" w:space="0" w:color="auto"/>
          </w:divBdr>
        </w:div>
        <w:div w:id="737477131">
          <w:marLeft w:val="360"/>
          <w:marRight w:val="0"/>
          <w:marTop w:val="200"/>
          <w:marBottom w:val="0"/>
          <w:divBdr>
            <w:top w:val="none" w:sz="0" w:space="0" w:color="auto"/>
            <w:left w:val="none" w:sz="0" w:space="0" w:color="auto"/>
            <w:bottom w:val="none" w:sz="0" w:space="0" w:color="auto"/>
            <w:right w:val="none" w:sz="0" w:space="0" w:color="auto"/>
          </w:divBdr>
        </w:div>
        <w:div w:id="741216164">
          <w:marLeft w:val="360"/>
          <w:marRight w:val="0"/>
          <w:marTop w:val="200"/>
          <w:marBottom w:val="0"/>
          <w:divBdr>
            <w:top w:val="none" w:sz="0" w:space="0" w:color="auto"/>
            <w:left w:val="none" w:sz="0" w:space="0" w:color="auto"/>
            <w:bottom w:val="none" w:sz="0" w:space="0" w:color="auto"/>
            <w:right w:val="none" w:sz="0" w:space="0" w:color="auto"/>
          </w:divBdr>
        </w:div>
        <w:div w:id="872308749">
          <w:marLeft w:val="360"/>
          <w:marRight w:val="0"/>
          <w:marTop w:val="200"/>
          <w:marBottom w:val="0"/>
          <w:divBdr>
            <w:top w:val="none" w:sz="0" w:space="0" w:color="auto"/>
            <w:left w:val="none" w:sz="0" w:space="0" w:color="auto"/>
            <w:bottom w:val="none" w:sz="0" w:space="0" w:color="auto"/>
            <w:right w:val="none" w:sz="0" w:space="0" w:color="auto"/>
          </w:divBdr>
        </w:div>
        <w:div w:id="2009941386">
          <w:marLeft w:val="360"/>
          <w:marRight w:val="0"/>
          <w:marTop w:val="200"/>
          <w:marBottom w:val="0"/>
          <w:divBdr>
            <w:top w:val="none" w:sz="0" w:space="0" w:color="auto"/>
            <w:left w:val="none" w:sz="0" w:space="0" w:color="auto"/>
            <w:bottom w:val="none" w:sz="0" w:space="0" w:color="auto"/>
            <w:right w:val="none" w:sz="0" w:space="0" w:color="auto"/>
          </w:divBdr>
        </w:div>
      </w:divsChild>
    </w:div>
    <w:div w:id="1890922007">
      <w:bodyDiv w:val="1"/>
      <w:marLeft w:val="0"/>
      <w:marRight w:val="0"/>
      <w:marTop w:val="0"/>
      <w:marBottom w:val="0"/>
      <w:divBdr>
        <w:top w:val="none" w:sz="0" w:space="0" w:color="auto"/>
        <w:left w:val="none" w:sz="0" w:space="0" w:color="auto"/>
        <w:bottom w:val="none" w:sz="0" w:space="0" w:color="auto"/>
        <w:right w:val="none" w:sz="0" w:space="0" w:color="auto"/>
      </w:divBdr>
    </w:div>
    <w:div w:id="2005206937">
      <w:bodyDiv w:val="1"/>
      <w:marLeft w:val="0"/>
      <w:marRight w:val="0"/>
      <w:marTop w:val="0"/>
      <w:marBottom w:val="0"/>
      <w:divBdr>
        <w:top w:val="none" w:sz="0" w:space="0" w:color="auto"/>
        <w:left w:val="none" w:sz="0" w:space="0" w:color="auto"/>
        <w:bottom w:val="none" w:sz="0" w:space="0" w:color="auto"/>
        <w:right w:val="none" w:sz="0" w:space="0" w:color="auto"/>
      </w:divBdr>
    </w:div>
    <w:div w:id="2103795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mments" Target="comments.xml"/><Relationship Id="rId18" Type="http://schemas.openxmlformats.org/officeDocument/2006/relationships/hyperlink" Target="https://www.ema.europa.eu/en/documents/scientific-guideline/draft-guideline-scientific-application-practical-arrangements-necessary-implement-commission/2006-conditional-marketing-authorisation-medicinal-products-human-use-f_en.pdf"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www.has-sante.fr/upload/docs/application/pdf/2021-03/doctrine_ct.pdf" TargetMode="External"/><Relationship Id="rId17" Type="http://schemas.openxmlformats.org/officeDocument/2006/relationships/hyperlink" Target="https://health.ec.europa.eu/system/files/2016-11/guideline_14-11-2007_en_0.pdf"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microsoft.com/office/2018/08/relationships/commentsExtensible" Target="commentsExtensible.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as-sante.fr/upload/docs/application/pdf/2021-03/doctrine_ct.pdf" TargetMode="External"/><Relationship Id="rId24" Type="http://schemas.microsoft.com/office/2011/relationships/people" Target="people.xml"/><Relationship Id="rId5" Type="http://schemas.openxmlformats.org/officeDocument/2006/relationships/numbering" Target="numbering.xml"/><Relationship Id="rId15" Type="http://schemas.microsoft.com/office/2016/09/relationships/commentsIds" Target="commentsIds.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commentsExtended" Target="commentsExtended.xml"/><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eucope.or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onclive.com/view/innovation-fuels-survival-gains-in-multiple-myelom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raro\AppData\Local\Microsoft\Windows\INetCache\Content.Outlook\FDFVYCMQ\EUCOPE_Word_Template_PositionPaper.dotx" TargetMode="Externa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373545"/>
      </a:dk2>
      <a:lt2>
        <a:srgbClr val="CEDBE6"/>
      </a:lt2>
      <a:accent1>
        <a:srgbClr val="003C72"/>
      </a:accent1>
      <a:accent2>
        <a:srgbClr val="003C72"/>
      </a:accent2>
      <a:accent3>
        <a:srgbClr val="003C72"/>
      </a:accent3>
      <a:accent4>
        <a:srgbClr val="FDC300"/>
      </a:accent4>
      <a:accent5>
        <a:srgbClr val="FDC300"/>
      </a:accent5>
      <a:accent6>
        <a:srgbClr val="FDC300"/>
      </a:accent6>
      <a:hlink>
        <a:srgbClr val="FDC3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E9E8F02C03F91344820194549B37C1DA" ma:contentTypeVersion="14" ma:contentTypeDescription="Crée un document." ma:contentTypeScope="" ma:versionID="d8f820df72efa030215b18f191d42bb1">
  <xsd:schema xmlns:xsd="http://www.w3.org/2001/XMLSchema" xmlns:xs="http://www.w3.org/2001/XMLSchema" xmlns:p="http://schemas.microsoft.com/office/2006/metadata/properties" xmlns:ns3="9f452c68-1277-42f7-96c9-f871a6ff7a30" xmlns:ns4="291e6a1d-8ebb-4eca-9d9c-3f9bc954b733" targetNamespace="http://schemas.microsoft.com/office/2006/metadata/properties" ma:root="true" ma:fieldsID="2f8bafb42f053b41f8a7f616c8fd7c53" ns3:_="" ns4:_="">
    <xsd:import namespace="9f452c68-1277-42f7-96c9-f871a6ff7a30"/>
    <xsd:import namespace="291e6a1d-8ebb-4eca-9d9c-3f9bc954b73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AutoKeyPoints" minOccurs="0"/>
                <xsd:element ref="ns4:MediaServiceKeyPoints" minOccurs="0"/>
                <xsd:element ref="ns4:MediaServiceGenerationTime" minOccurs="0"/>
                <xsd:element ref="ns4:MediaServiceEventHashCode"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452c68-1277-42f7-96c9-f871a6ff7a30"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element name="SharingHintHash" ma:index="10" nillable="true" ma:displayName="Partage du hachage d’indicateu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1e6a1d-8ebb-4eca-9d9c-3f9bc954b73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213A640-22F2-4EB0-8611-F5306D08CF1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E83EACB-E634-480D-BD53-B12E039EDAC5}">
  <ds:schemaRefs>
    <ds:schemaRef ds:uri="http://schemas.openxmlformats.org/officeDocument/2006/bibliography"/>
  </ds:schemaRefs>
</ds:datastoreItem>
</file>

<file path=customXml/itemProps3.xml><?xml version="1.0" encoding="utf-8"?>
<ds:datastoreItem xmlns:ds="http://schemas.openxmlformats.org/officeDocument/2006/customXml" ds:itemID="{5558936F-42D8-436B-A8A9-F917882EC4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452c68-1277-42f7-96c9-f871a6ff7a30"/>
    <ds:schemaRef ds:uri="291e6a1d-8ebb-4eca-9d9c-3f9bc954b7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B9E88B1-1B52-41A1-8CE4-3F3FFFC8745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EUCOPE_Word_Template_PositionPaper</Template>
  <TotalTime>0</TotalTime>
  <Pages>16</Pages>
  <Words>5377</Words>
  <Characters>30649</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35955</CharactersWithSpaces>
  <SharedDoc>false</SharedDoc>
  <HLinks>
    <vt:vector size="30" baseType="variant">
      <vt:variant>
        <vt:i4>6946842</vt:i4>
      </vt:variant>
      <vt:variant>
        <vt:i4>3</vt:i4>
      </vt:variant>
      <vt:variant>
        <vt:i4>0</vt:i4>
      </vt:variant>
      <vt:variant>
        <vt:i4>5</vt:i4>
      </vt:variant>
      <vt:variant>
        <vt:lpwstr>https://www.ema.europa.eu/en/documents/scientific-guideline/draft-guideline-scientific-application-practical-arrangements-necessary-implement-commission/2006-conditional-marketing-authorisation-medicinal-products-human-use-f_en.pdf</vt:lpwstr>
      </vt:variant>
      <vt:variant>
        <vt:lpwstr/>
      </vt:variant>
      <vt:variant>
        <vt:i4>5439534</vt:i4>
      </vt:variant>
      <vt:variant>
        <vt:i4>0</vt:i4>
      </vt:variant>
      <vt:variant>
        <vt:i4>0</vt:i4>
      </vt:variant>
      <vt:variant>
        <vt:i4>5</vt:i4>
      </vt:variant>
      <vt:variant>
        <vt:lpwstr>https://health.ec.europa.eu/system/files/2016-11/guideline_14-11-2007_en_0.pdf</vt:lpwstr>
      </vt:variant>
      <vt:variant>
        <vt:lpwstr/>
      </vt:variant>
      <vt:variant>
        <vt:i4>852060</vt:i4>
      </vt:variant>
      <vt:variant>
        <vt:i4>0</vt:i4>
      </vt:variant>
      <vt:variant>
        <vt:i4>0</vt:i4>
      </vt:variant>
      <vt:variant>
        <vt:i4>5</vt:i4>
      </vt:variant>
      <vt:variant>
        <vt:lpwstr>https://www.onclive.com/view/innovation-fuels-survival-gains-in-multiple-myeloma</vt:lpwstr>
      </vt:variant>
      <vt:variant>
        <vt:lpwstr/>
      </vt:variant>
      <vt:variant>
        <vt:i4>3014695</vt:i4>
      </vt:variant>
      <vt:variant>
        <vt:i4>9</vt:i4>
      </vt:variant>
      <vt:variant>
        <vt:i4>0</vt:i4>
      </vt:variant>
      <vt:variant>
        <vt:i4>5</vt:i4>
      </vt:variant>
      <vt:variant>
        <vt:lpwstr>http://www.eucope.org/</vt:lpwstr>
      </vt:variant>
      <vt:variant>
        <vt:lpwstr/>
      </vt:variant>
      <vt:variant>
        <vt:i4>3538969</vt:i4>
      </vt:variant>
      <vt:variant>
        <vt:i4>0</vt:i4>
      </vt:variant>
      <vt:variant>
        <vt:i4>0</vt:i4>
      </vt:variant>
      <vt:variant>
        <vt:i4>5</vt:i4>
      </vt:variant>
      <vt:variant>
        <vt:lpwstr>https://www.has-sante.fr/upload/docs/application/pdf/2021-03/doctrine_ct.pdf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Aurélio Yamada</dc:creator>
  <cp:keywords/>
  <dc:description/>
  <cp:lastModifiedBy>Vittoria Carraro</cp:lastModifiedBy>
  <cp:revision>2</cp:revision>
  <cp:lastPrinted>2022-08-12T16:43:00Z</cp:lastPrinted>
  <dcterms:created xsi:type="dcterms:W3CDTF">2022-11-07T17:29:00Z</dcterms:created>
  <dcterms:modified xsi:type="dcterms:W3CDTF">2022-11-07T17:29:00Z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0x010100E9E8F02C03F91344820194549B37C1DA</vt:lpwstr>
  </property>
</Properties>
</file>